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B52A" w14:textId="2298D9A2" w:rsidR="005E11FD"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E853F65" w14:textId="5B58FBAF" w:rsidR="008B5D59" w:rsidRDefault="008B5D59" w:rsidP="0000630F">
      <w:r>
        <w:t xml:space="preserve">The proposed text edits below reflect a couple of important </w:t>
      </w:r>
      <w:r w:rsidR="00EA29AB">
        <w:t>issues:</w:t>
      </w:r>
    </w:p>
    <w:p w14:paraId="0B1E7CDB" w14:textId="64FDA77F" w:rsidR="004E0497" w:rsidRDefault="004E0497" w:rsidP="004E0497">
      <w:pPr>
        <w:pStyle w:val="ListParagraph"/>
        <w:numPr>
          <w:ilvl w:val="0"/>
          <w:numId w:val="11"/>
        </w:numPr>
      </w:pPr>
      <w:r>
        <w:t xml:space="preserve">In </w:t>
      </w:r>
      <w:proofErr w:type="gramStart"/>
      <w:r>
        <w:t>general</w:t>
      </w:r>
      <w:proofErr w:type="gramEnd"/>
      <w:r>
        <w:t xml:space="preserve"> this section </w:t>
      </w:r>
      <w:r w:rsidR="00157E45">
        <w:t>this section is set up to not provide accurate carbon accounting.  It prohibits important life cycle stages which should be allowed that may skew the results.  Please make changes to avoid these dangerous pitfalls.</w:t>
      </w:r>
    </w:p>
    <w:p w14:paraId="2BD1D51C" w14:textId="28354D20" w:rsidR="00157E45" w:rsidRDefault="00157E45" w:rsidP="004E0497">
      <w:pPr>
        <w:pStyle w:val="ListParagraph"/>
        <w:numPr>
          <w:ilvl w:val="0"/>
          <w:numId w:val="11"/>
        </w:numPr>
      </w:pPr>
      <w:r>
        <w:t xml:space="preserve">Allow carbon savings during operational phases.  This may only be applicable to a few </w:t>
      </w:r>
      <w:proofErr w:type="gramStart"/>
      <w:r>
        <w:t>products</w:t>
      </w:r>
      <w:proofErr w:type="gramEnd"/>
      <w:r>
        <w:t xml:space="preserve"> but it is critical that those products are recognized for their </w:t>
      </w:r>
      <w:proofErr w:type="spellStart"/>
      <w:r>
        <w:t>contribtions</w:t>
      </w:r>
      <w:proofErr w:type="spellEnd"/>
      <w:r>
        <w:t xml:space="preserve"> to carbon savings during the operation of the building for its often long service life.</w:t>
      </w:r>
    </w:p>
    <w:p w14:paraId="6C5F1C6B" w14:textId="0A3C8443" w:rsidR="00157E45" w:rsidRDefault="00157E45" w:rsidP="004E0497">
      <w:pPr>
        <w:pStyle w:val="ListParagraph"/>
        <w:numPr>
          <w:ilvl w:val="0"/>
          <w:numId w:val="11"/>
        </w:numPr>
      </w:pPr>
      <w:proofErr w:type="spellStart"/>
      <w:r>
        <w:t>Refridgerant</w:t>
      </w:r>
      <w:proofErr w:type="spellEnd"/>
      <w:r>
        <w:t xml:space="preserve"> leakage should be included not optional.</w:t>
      </w:r>
    </w:p>
    <w:p w14:paraId="03D3A35B" w14:textId="7FF1205A" w:rsidR="00157E45" w:rsidRDefault="00157E45" w:rsidP="004E0497">
      <w:pPr>
        <w:pStyle w:val="ListParagraph"/>
        <w:numPr>
          <w:ilvl w:val="0"/>
          <w:numId w:val="11"/>
        </w:numPr>
      </w:pPr>
      <w:r>
        <w:t>Threshold calculations should not be allowed.  Especially without more guidance on selecting the representative unit.</w:t>
      </w:r>
    </w:p>
    <w:p w14:paraId="137D42C5" w14:textId="77777777" w:rsidR="004E0497" w:rsidRDefault="004E0497" w:rsidP="0000630F">
      <w:pPr>
        <w:rPr>
          <w:b/>
          <w:bCs/>
        </w:rPr>
      </w:pPr>
    </w:p>
    <w:p w14:paraId="3ADFCCE6" w14:textId="1C5F6A49"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4ACFEA18" w14:textId="58CBC55D" w:rsidR="004E0497" w:rsidRPr="006D00C9" w:rsidRDefault="004E0497" w:rsidP="004E0497">
      <w:pPr>
        <w:pStyle w:val="Heading1"/>
        <w:rPr>
          <w:color w:val="FF0000"/>
          <w:u w:val="single"/>
        </w:rPr>
      </w:pPr>
      <w:bookmarkStart w:id="0" w:name="_Ref170130731"/>
      <w:bookmarkStart w:id="1" w:name="_Ref170131174"/>
      <w:bookmarkStart w:id="2" w:name="_Ref170131187"/>
      <w:bookmarkStart w:id="3" w:name="_Ref170131373"/>
      <w:bookmarkStart w:id="4" w:name="_Ref170131382"/>
      <w:bookmarkStart w:id="5" w:name="_Ref170133974"/>
      <w:bookmarkStart w:id="6" w:name="_Ref170133982"/>
      <w:bookmarkStart w:id="7" w:name="_Ref170134033"/>
      <w:bookmarkStart w:id="8" w:name="_Ref170134488"/>
      <w:bookmarkStart w:id="9" w:name="_Ref170134509"/>
      <w:bookmarkStart w:id="10" w:name="_Ref170134597"/>
      <w:bookmarkStart w:id="11" w:name="_Ref170134670"/>
      <w:bookmarkStart w:id="12" w:name="_Ref170135584"/>
      <w:bookmarkStart w:id="13" w:name="_Toc491507501"/>
      <w:bookmarkStart w:id="14" w:name="_Toc180680637"/>
      <w:r>
        <w:rPr>
          <w:color w:val="FF0000"/>
          <w:u w:val="single"/>
        </w:rPr>
        <w:t xml:space="preserve">6 </w:t>
      </w:r>
      <w:r w:rsidRPr="006D00C9">
        <w:rPr>
          <w:color w:val="FF0000"/>
          <w:u w:val="single"/>
        </w:rPr>
        <w:t>Embodied Carbon Emissions Calculations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5546A25" w14:textId="77777777" w:rsidR="004E0497" w:rsidRPr="006D00C9" w:rsidRDefault="004E0497" w:rsidP="004E0497">
      <w:pPr>
        <w:rPr>
          <w:color w:val="FF0000"/>
          <w:highlight w:val="yellow"/>
          <w:u w:val="single"/>
        </w:rPr>
      </w:pPr>
      <w:r w:rsidRPr="00B540E5">
        <w:rPr>
          <w:i/>
          <w:strike/>
          <w:color w:val="FF0000"/>
          <w:highlight w:val="yellow"/>
          <w:u w:val="single"/>
        </w:rPr>
        <w:t>Projected Assessments</w:t>
      </w:r>
      <w:r w:rsidRPr="00B540E5">
        <w:rPr>
          <w:strike/>
          <w:color w:val="FF0000"/>
          <w:highlight w:val="yellow"/>
          <w:u w:val="single"/>
        </w:rPr>
        <w:t xml:space="preserve"> and</w:t>
      </w:r>
      <w:r w:rsidRPr="00B540E5">
        <w:rPr>
          <w:strike/>
          <w:color w:val="FF0000"/>
          <w:u w:val="single"/>
        </w:rPr>
        <w:t xml:space="preserve"> </w:t>
      </w:r>
      <w:r w:rsidRPr="00B540E5">
        <w:rPr>
          <w:i/>
          <w:strike/>
          <w:color w:val="FF0000"/>
          <w:highlight w:val="yellow"/>
          <w:u w:val="single"/>
        </w:rPr>
        <w:t>Confirmed</w:t>
      </w:r>
      <w:r w:rsidRPr="006D00C9">
        <w:rPr>
          <w:i/>
          <w:color w:val="FF0000"/>
          <w:u w:val="single"/>
        </w:rPr>
        <w:t xml:space="preserve"> Assessments</w:t>
      </w:r>
      <w:r w:rsidRPr="006D00C9">
        <w:rPr>
          <w:color w:val="FF0000"/>
          <w:u w:val="single"/>
        </w:rPr>
        <w:t xml:space="preserve"> shall </w:t>
      </w:r>
      <w:r w:rsidRPr="00B540E5">
        <w:rPr>
          <w:strike/>
          <w:color w:val="FF0000"/>
          <w:highlight w:val="yellow"/>
          <w:u w:val="single"/>
        </w:rPr>
        <w:t>both</w:t>
      </w:r>
      <w:r w:rsidRPr="006D00C9">
        <w:rPr>
          <w:color w:val="FF0000"/>
          <w:u w:val="single"/>
        </w:rPr>
        <w:t xml:space="preserve"> conform with the calculation requirements in Sections </w:t>
      </w:r>
      <w:r w:rsidRPr="006D00C9">
        <w:rPr>
          <w:color w:val="FF0000"/>
          <w:u w:val="single"/>
        </w:rPr>
        <w:fldChar w:fldCharType="begin"/>
      </w:r>
      <w:r w:rsidRPr="006D00C9">
        <w:rPr>
          <w:color w:val="FF0000"/>
          <w:u w:val="single"/>
        </w:rPr>
        <w:instrText xml:space="preserve"> REF _Ref170134090 \r \h  \* MERGEFORMAT </w:instrText>
      </w:r>
      <w:r w:rsidRPr="006D00C9">
        <w:rPr>
          <w:color w:val="FF0000"/>
          <w:u w:val="single"/>
        </w:rPr>
      </w:r>
      <w:r w:rsidRPr="006D00C9">
        <w:rPr>
          <w:color w:val="FF0000"/>
          <w:u w:val="single"/>
        </w:rPr>
        <w:fldChar w:fldCharType="separate"/>
      </w:r>
      <w:r w:rsidRPr="006D00C9">
        <w:rPr>
          <w:color w:val="FF0000"/>
          <w:u w:val="single"/>
        </w:rPr>
        <w:t>6.1</w:t>
      </w:r>
      <w:r w:rsidRPr="006D00C9">
        <w:rPr>
          <w:color w:val="FF0000"/>
          <w:u w:val="single"/>
        </w:rPr>
        <w:fldChar w:fldCharType="end"/>
      </w:r>
      <w:r w:rsidRPr="006D00C9">
        <w:rPr>
          <w:color w:val="FF0000"/>
          <w:u w:val="single"/>
        </w:rPr>
        <w:t xml:space="preserve"> through 6.5.</w:t>
      </w:r>
    </w:p>
    <w:p w14:paraId="3278D599" w14:textId="77777777" w:rsidR="004E0497" w:rsidRPr="006D00C9" w:rsidRDefault="004E0497" w:rsidP="004E0497">
      <w:pPr>
        <w:pStyle w:val="Heading2"/>
        <w:rPr>
          <w:color w:val="FF0000"/>
          <w:u w:val="single"/>
        </w:rPr>
      </w:pPr>
      <w:bookmarkStart w:id="15" w:name="_Ref170134090"/>
      <w:bookmarkStart w:id="16" w:name="_Toc454441909"/>
      <w:bookmarkStart w:id="17" w:name="_Toc180680638"/>
      <w:r w:rsidRPr="006D00C9">
        <w:rPr>
          <w:color w:val="FF0000"/>
          <w:u w:val="single"/>
        </w:rPr>
        <w:t>Reference Units for Calculations</w:t>
      </w:r>
      <w:bookmarkEnd w:id="15"/>
      <w:bookmarkEnd w:id="16"/>
      <w:bookmarkEnd w:id="17"/>
    </w:p>
    <w:p w14:paraId="60A72559" w14:textId="77777777" w:rsidR="004E0497" w:rsidRPr="006D00C9" w:rsidRDefault="004E0497" w:rsidP="004E0497">
      <w:pPr>
        <w:spacing w:line="276" w:lineRule="auto"/>
        <w:rPr>
          <w:rFonts w:eastAsiaTheme="minorEastAsia"/>
          <w:color w:val="FF0000"/>
          <w:u w:val="single"/>
        </w:rPr>
      </w:pPr>
      <w:r w:rsidRPr="006D00C9">
        <w:rPr>
          <w:rFonts w:eastAsiaTheme="minorEastAsia"/>
          <w:color w:val="FF0000"/>
          <w:u w:val="single"/>
        </w:rPr>
        <w:t xml:space="preserve">The </w:t>
      </w:r>
      <w:r w:rsidRPr="006D00C9">
        <w:rPr>
          <w:rFonts w:eastAsiaTheme="minorEastAsia"/>
          <w:i/>
          <w:iCs/>
          <w:color w:val="FF0000"/>
          <w:u w:val="single"/>
        </w:rPr>
        <w:t xml:space="preserve">GWP </w:t>
      </w:r>
      <w:r w:rsidRPr="006D00C9">
        <w:rPr>
          <w:rFonts w:eastAsiaTheme="minorEastAsia"/>
          <w:color w:val="FF0000"/>
          <w:u w:val="single"/>
        </w:rPr>
        <w:t>of all</w:t>
      </w:r>
      <w:r w:rsidRPr="006D00C9">
        <w:rPr>
          <w:rFonts w:eastAsiaTheme="minorEastAsia"/>
          <w:i/>
          <w:iCs/>
          <w:color w:val="FF0000"/>
          <w:u w:val="single"/>
        </w:rPr>
        <w:t xml:space="preserve"> Minimum Assessed Products</w:t>
      </w:r>
      <w:r w:rsidRPr="006D00C9">
        <w:rPr>
          <w:rFonts w:eastAsiaTheme="minorEastAsia"/>
          <w:color w:val="FF0000"/>
          <w:u w:val="single"/>
        </w:rPr>
        <w:t xml:space="preserve"> shall be calculated using kilograms of </w:t>
      </w:r>
      <w:r w:rsidRPr="006D00C9">
        <w:rPr>
          <w:rFonts w:eastAsiaTheme="minorEastAsia"/>
          <w:i/>
          <w:iCs/>
          <w:color w:val="FF0000"/>
          <w:u w:val="single"/>
        </w:rPr>
        <w:t>carbon dioxide equivalent</w:t>
      </w:r>
      <w:r w:rsidRPr="006D00C9">
        <w:rPr>
          <w:rFonts w:eastAsiaTheme="minorEastAsia"/>
          <w:color w:val="FF0000"/>
          <w:u w:val="single"/>
        </w:rPr>
        <w:t xml:space="preserve"> (kg CO2e) as per “Unit for Results” column in Table 10.1.1. </w:t>
      </w:r>
    </w:p>
    <w:p w14:paraId="0750AE36" w14:textId="77777777" w:rsidR="004E0497" w:rsidRPr="006D00C9" w:rsidRDefault="004E0497" w:rsidP="004E0497">
      <w:pPr>
        <w:spacing w:line="276" w:lineRule="auto"/>
        <w:rPr>
          <w:rFonts w:eastAsiaTheme="minorEastAsia"/>
          <w:color w:val="FF0000"/>
          <w:u w:val="single"/>
        </w:rPr>
      </w:pPr>
      <w:r w:rsidRPr="006D00C9">
        <w:rPr>
          <w:rFonts w:eastAsiaTheme="minorEastAsia"/>
          <w:color w:val="FF0000"/>
          <w:u w:val="single"/>
        </w:rPr>
        <w:t xml:space="preserve">Input dimensions used for calculations may be in imperial units but shall be converted to metric units for GWP calculations. </w:t>
      </w:r>
    </w:p>
    <w:p w14:paraId="3D381027" w14:textId="77777777" w:rsidR="004E0497" w:rsidRPr="006D00C9" w:rsidRDefault="004E0497" w:rsidP="004E0497">
      <w:pPr>
        <w:spacing w:line="276" w:lineRule="auto"/>
        <w:rPr>
          <w:rFonts w:eastAsiaTheme="minorEastAsia"/>
          <w:color w:val="FF0000"/>
          <w:u w:val="single"/>
        </w:rPr>
      </w:pPr>
      <w:r w:rsidRPr="006D00C9">
        <w:rPr>
          <w:rFonts w:eastAsiaTheme="minorEastAsia"/>
          <w:color w:val="FF0000"/>
          <w:u w:val="single"/>
        </w:rPr>
        <w:t>Results shall be reported in both metric and imperial units as per Section 8.2.</w:t>
      </w:r>
    </w:p>
    <w:p w14:paraId="2AD08D66" w14:textId="77777777" w:rsidR="004E0497" w:rsidRPr="006D00C9" w:rsidRDefault="004E0497" w:rsidP="004E0497">
      <w:pPr>
        <w:pStyle w:val="Heading2"/>
        <w:rPr>
          <w:color w:val="FF0000"/>
          <w:u w:val="single"/>
        </w:rPr>
      </w:pPr>
      <w:bookmarkStart w:id="18" w:name="_Ref170134728"/>
      <w:bookmarkStart w:id="19" w:name="_Ref170134936"/>
      <w:bookmarkStart w:id="20" w:name="_Toc1915765198"/>
      <w:bookmarkStart w:id="21" w:name="_Toc180680639"/>
      <w:r w:rsidRPr="006D00C9">
        <w:rPr>
          <w:color w:val="FF0000"/>
          <w:u w:val="single"/>
        </w:rPr>
        <w:lastRenderedPageBreak/>
        <w:t xml:space="preserve">Calculating Embodied Carbon Emissions </w:t>
      </w:r>
      <w:r w:rsidRPr="00B540E5">
        <w:rPr>
          <w:strike/>
          <w:color w:val="FF0000"/>
          <w:highlight w:val="yellow"/>
          <w:u w:val="single"/>
        </w:rPr>
        <w:t>and Carbon Storage</w:t>
      </w:r>
      <w:r w:rsidRPr="006D00C9">
        <w:rPr>
          <w:color w:val="FF0000"/>
          <w:u w:val="single"/>
        </w:rPr>
        <w:t xml:space="preserve"> for each </w:t>
      </w:r>
      <w:bookmarkEnd w:id="18"/>
      <w:bookmarkEnd w:id="19"/>
      <w:bookmarkEnd w:id="20"/>
      <w:r w:rsidRPr="006D00C9">
        <w:rPr>
          <w:color w:val="FF0000"/>
          <w:u w:val="single"/>
        </w:rPr>
        <w:t>Minimum Assessed Product</w:t>
      </w:r>
      <w:bookmarkEnd w:id="21"/>
    </w:p>
    <w:p w14:paraId="1DCD44BE" w14:textId="77777777" w:rsidR="004E0497" w:rsidRPr="006D00C9" w:rsidRDefault="004E0497" w:rsidP="004E0497">
      <w:pPr>
        <w:rPr>
          <w:rFonts w:eastAsiaTheme="minorEastAsia"/>
          <w:color w:val="FF0000"/>
          <w:u w:val="single"/>
        </w:rPr>
      </w:pPr>
      <w:r w:rsidRPr="006D00C9">
        <w:rPr>
          <w:rFonts w:eastAsiaTheme="minorEastAsia"/>
          <w:color w:val="FF0000"/>
          <w:u w:val="single"/>
        </w:rPr>
        <w:t xml:space="preserve">Each </w:t>
      </w:r>
      <w:r w:rsidRPr="006D00C9">
        <w:rPr>
          <w:rFonts w:eastAsiaTheme="minorEastAsia"/>
          <w:i/>
          <w:color w:val="FF0000"/>
          <w:u w:val="single"/>
        </w:rPr>
        <w:t>Minimum Assessed Product</w:t>
      </w:r>
      <w:r w:rsidRPr="006D00C9">
        <w:rPr>
          <w:rFonts w:eastAsiaTheme="minorEastAsia"/>
          <w:color w:val="FF0000"/>
          <w:u w:val="single"/>
        </w:rPr>
        <w:t xml:space="preserve"> shall have calculated the </w:t>
      </w:r>
      <w:r w:rsidRPr="00B540E5">
        <w:rPr>
          <w:rFonts w:eastAsiaTheme="minorEastAsia"/>
          <w:color w:val="FF0000"/>
          <w:u w:val="single"/>
        </w:rPr>
        <w:t xml:space="preserve">gross </w:t>
      </w:r>
      <w:r w:rsidRPr="00B540E5">
        <w:rPr>
          <w:rFonts w:eastAsiaTheme="minorEastAsia"/>
          <w:i/>
          <w:color w:val="FF0000"/>
          <w:u w:val="single"/>
        </w:rPr>
        <w:t>embodied carbon</w:t>
      </w:r>
      <w:r w:rsidRPr="00B540E5">
        <w:rPr>
          <w:rFonts w:eastAsiaTheme="minorEastAsia"/>
          <w:color w:val="FF0000"/>
          <w:u w:val="single"/>
        </w:rPr>
        <w:t xml:space="preserve"> emissions, gross carbon storage</w:t>
      </w:r>
      <w:r>
        <w:rPr>
          <w:rFonts w:eastAsiaTheme="minorEastAsia"/>
          <w:color w:val="FF0000"/>
          <w:u w:val="single"/>
        </w:rPr>
        <w:t xml:space="preserve">, </w:t>
      </w:r>
      <w:r w:rsidRPr="00D363C9">
        <w:rPr>
          <w:rFonts w:eastAsiaTheme="minorEastAsia"/>
          <w:color w:val="FF0000"/>
          <w:highlight w:val="yellow"/>
          <w:u w:val="single"/>
        </w:rPr>
        <w:t>carbon savings,</w:t>
      </w:r>
      <w:r w:rsidRPr="00B540E5">
        <w:rPr>
          <w:rFonts w:eastAsiaTheme="minorEastAsia"/>
          <w:color w:val="FF0000"/>
          <w:u w:val="single"/>
        </w:rPr>
        <w:t xml:space="preserve"> and </w:t>
      </w:r>
      <w:r w:rsidRPr="006D00C9">
        <w:rPr>
          <w:rFonts w:eastAsiaTheme="minorEastAsia"/>
          <w:color w:val="FF0000"/>
          <w:u w:val="single"/>
        </w:rPr>
        <w:t xml:space="preserve">net </w:t>
      </w:r>
      <w:r w:rsidRPr="006D00C9">
        <w:rPr>
          <w:rFonts w:eastAsiaTheme="minorEastAsia"/>
          <w:i/>
          <w:color w:val="FF0000"/>
          <w:u w:val="single"/>
        </w:rPr>
        <w:t>embodied carbon</w:t>
      </w:r>
      <w:r w:rsidRPr="006D00C9">
        <w:rPr>
          <w:rFonts w:eastAsiaTheme="minorEastAsia"/>
          <w:color w:val="FF0000"/>
          <w:u w:val="single"/>
        </w:rPr>
        <w:t>.</w:t>
      </w:r>
    </w:p>
    <w:p w14:paraId="03ACD978" w14:textId="77777777" w:rsidR="00157E45" w:rsidRDefault="00157E45" w:rsidP="0000630F">
      <w:pPr>
        <w:rPr>
          <w:sz w:val="20"/>
          <w:szCs w:val="20"/>
        </w:rPr>
      </w:pPr>
    </w:p>
    <w:p w14:paraId="08D28948" w14:textId="444A1634" w:rsidR="00157E45" w:rsidRPr="00D363C9" w:rsidRDefault="00157E45" w:rsidP="00157E45">
      <w:pPr>
        <w:pStyle w:val="Heading3"/>
        <w:rPr>
          <w:color w:val="FF0000"/>
          <w:highlight w:val="yellow"/>
          <w:u w:val="single"/>
        </w:rPr>
      </w:pPr>
      <w:r>
        <w:rPr>
          <w:color w:val="FF0000"/>
          <w:highlight w:val="yellow"/>
          <w:u w:val="single"/>
        </w:rPr>
        <w:t xml:space="preserve">6.2.3 </w:t>
      </w:r>
      <w:r w:rsidRPr="00D363C9">
        <w:rPr>
          <w:color w:val="FF0000"/>
          <w:highlight w:val="yellow"/>
          <w:u w:val="single"/>
        </w:rPr>
        <w:t xml:space="preserve">Add Carbon Savings </w:t>
      </w:r>
    </w:p>
    <w:p w14:paraId="0FE941BC" w14:textId="77777777" w:rsidR="00157E45" w:rsidRPr="006D00C9" w:rsidRDefault="00157E45" w:rsidP="00157E45">
      <w:pPr>
        <w:pStyle w:val="Heading3"/>
        <w:rPr>
          <w:color w:val="FF0000"/>
          <w:u w:val="single"/>
        </w:rPr>
      </w:pPr>
      <w:r w:rsidRPr="006D00C9">
        <w:rPr>
          <w:color w:val="FF0000"/>
          <w:u w:val="single"/>
        </w:rPr>
        <w:t xml:space="preserve">Net </w:t>
      </w:r>
      <w:r w:rsidRPr="006D00C9">
        <w:rPr>
          <w:i/>
          <w:color w:val="FF0000"/>
          <w:u w:val="single"/>
        </w:rPr>
        <w:t>embodied carbon</w:t>
      </w:r>
      <w:r w:rsidRPr="006D00C9">
        <w:rPr>
          <w:color w:val="FF0000"/>
          <w:u w:val="single"/>
        </w:rPr>
        <w:t xml:space="preserve"> for products</w:t>
      </w:r>
    </w:p>
    <w:p w14:paraId="028B9414" w14:textId="77777777" w:rsidR="00157E45" w:rsidRPr="006D00C9" w:rsidRDefault="00157E45" w:rsidP="00157E45">
      <w:pPr>
        <w:rPr>
          <w:rFonts w:eastAsiaTheme="minorEastAsia"/>
          <w:color w:val="FF0000"/>
          <w:u w:val="single"/>
        </w:rPr>
      </w:pPr>
      <w:r w:rsidRPr="006D00C9">
        <w:rPr>
          <w:rFonts w:eastAsiaTheme="minorEastAsia"/>
          <w:color w:val="FF0000"/>
          <w:u w:val="single"/>
        </w:rPr>
        <w:t xml:space="preserve">Net </w:t>
      </w:r>
      <w:r w:rsidRPr="006D00C9">
        <w:rPr>
          <w:rFonts w:eastAsiaTheme="minorEastAsia"/>
          <w:i/>
          <w:color w:val="FF0000"/>
          <w:u w:val="single"/>
        </w:rPr>
        <w:t>embodied carbon</w:t>
      </w:r>
      <w:r w:rsidRPr="006D00C9">
        <w:rPr>
          <w:rFonts w:eastAsiaTheme="minorEastAsia"/>
          <w:color w:val="FF0000"/>
          <w:u w:val="single"/>
        </w:rPr>
        <w:t xml:space="preserve"> emissions for each </w:t>
      </w:r>
      <w:r w:rsidRPr="006D00C9">
        <w:rPr>
          <w:rFonts w:eastAsiaTheme="minorEastAsia"/>
          <w:i/>
          <w:color w:val="FF0000"/>
          <w:u w:val="single"/>
        </w:rPr>
        <w:t>Minimum Assessed Product</w:t>
      </w:r>
      <w:r w:rsidRPr="006D00C9">
        <w:rPr>
          <w:rFonts w:eastAsiaTheme="minorEastAsia"/>
          <w:color w:val="FF0000"/>
          <w:u w:val="single"/>
        </w:rPr>
        <w:t xml:space="preserve"> shall be calculated as follows:</w:t>
      </w:r>
      <w:r>
        <w:rPr>
          <w:rFonts w:eastAsiaTheme="minorEastAsia"/>
          <w:color w:val="FF0000"/>
          <w:u w:val="single"/>
        </w:rPr>
        <w:t xml:space="preserve"> </w:t>
      </w:r>
      <w:r w:rsidRPr="00D363C9">
        <w:rPr>
          <w:rFonts w:eastAsiaTheme="minorEastAsia"/>
          <w:color w:val="FF0000"/>
          <w:highlight w:val="yellow"/>
          <w:u w:val="single"/>
        </w:rPr>
        <w:t>(add to the equation the subtraction of carbon savings associated with the use of the product)</w:t>
      </w:r>
    </w:p>
    <w:p w14:paraId="69B9BCCB" w14:textId="20DA206F" w:rsidR="00157E45" w:rsidRDefault="00157E45" w:rsidP="0000630F">
      <w:pPr>
        <w:rPr>
          <w:sz w:val="20"/>
          <w:szCs w:val="20"/>
        </w:rPr>
      </w:pPr>
      <w:r>
        <w:rPr>
          <w:sz w:val="20"/>
          <w:szCs w:val="20"/>
        </w:rPr>
        <w:t>…</w:t>
      </w:r>
    </w:p>
    <w:p w14:paraId="6D6F490D" w14:textId="77777777" w:rsidR="00157E45" w:rsidRPr="001323C7" w:rsidRDefault="00157E45" w:rsidP="00157E45">
      <w:pPr>
        <w:rPr>
          <w:i/>
          <w:iCs/>
          <w:color w:val="FF0000"/>
          <w:highlight w:val="yellow"/>
          <w:u w:val="single"/>
        </w:rPr>
      </w:pPr>
      <w:r w:rsidRPr="001323C7">
        <w:rPr>
          <w:b/>
          <w:bCs/>
          <w:color w:val="FF0000"/>
          <w:highlight w:val="yellow"/>
          <w:u w:val="single"/>
        </w:rPr>
        <w:t>6.4 Calculating Embodied Carbon Emissions from Refrigerant Leakage</w:t>
      </w:r>
      <w:r>
        <w:rPr>
          <w:b/>
          <w:bCs/>
          <w:color w:val="FF0000"/>
          <w:highlight w:val="yellow"/>
          <w:u w:val="single"/>
        </w:rPr>
        <w:t xml:space="preserve"> </w:t>
      </w:r>
      <w:r w:rsidRPr="001323C7">
        <w:rPr>
          <w:i/>
          <w:iCs/>
          <w:color w:val="FF0000"/>
          <w:highlight w:val="yellow"/>
          <w:u w:val="single"/>
        </w:rPr>
        <w:t>(renumber sections as applicable)</w:t>
      </w:r>
    </w:p>
    <w:p w14:paraId="61526A23" w14:textId="77777777" w:rsidR="00157E45" w:rsidRPr="006D00C9" w:rsidRDefault="00157E45" w:rsidP="00157E45">
      <w:pPr>
        <w:pStyle w:val="Heading3"/>
        <w:rPr>
          <w:color w:val="FF0000"/>
          <w:u w:val="single"/>
        </w:rPr>
      </w:pPr>
      <w:r w:rsidRPr="006D00C9">
        <w:rPr>
          <w:color w:val="FF0000"/>
          <w:u w:val="single"/>
        </w:rPr>
        <w:t>GWP of refrigerant leakage from heat pumps</w:t>
      </w:r>
    </w:p>
    <w:p w14:paraId="31BEA8A4" w14:textId="77777777" w:rsidR="00157E45" w:rsidRPr="006D00C9" w:rsidRDefault="00157E45" w:rsidP="00157E45">
      <w:pPr>
        <w:rPr>
          <w:color w:val="FF0000"/>
          <w:u w:val="single"/>
        </w:rPr>
      </w:pPr>
      <w:r w:rsidRPr="001323C7">
        <w:rPr>
          <w:strike/>
          <w:color w:val="FF0000"/>
          <w:highlight w:val="yellow"/>
          <w:u w:val="single"/>
        </w:rPr>
        <w:t>It is allowable to estimate the</w:t>
      </w:r>
      <w:r w:rsidRPr="006D00C9">
        <w:rPr>
          <w:color w:val="FF0000"/>
          <w:u w:val="single"/>
        </w:rPr>
        <w:t xml:space="preserve"> GWP of refrigerant leakage from heat pumps and/or any HVAC system component connected to a field charged or pre-charged refrigerant line installed in assessed buildings </w:t>
      </w:r>
      <w:r w:rsidRPr="001323C7">
        <w:rPr>
          <w:color w:val="FF0000"/>
          <w:highlight w:val="yellow"/>
          <w:u w:val="single"/>
        </w:rPr>
        <w:t>shall be estimated</w:t>
      </w:r>
      <w:r>
        <w:rPr>
          <w:color w:val="FF0000"/>
          <w:u w:val="single"/>
        </w:rPr>
        <w:t xml:space="preserve"> </w:t>
      </w:r>
      <w:r w:rsidRPr="006D00C9">
        <w:rPr>
          <w:color w:val="FF0000"/>
          <w:u w:val="single"/>
        </w:rPr>
        <w:t>using the following calculation</w:t>
      </w:r>
      <w:r w:rsidRPr="006D00C9">
        <w:rPr>
          <w:rStyle w:val="FootnoteReference"/>
          <w:color w:val="FF0000"/>
          <w:u w:val="single"/>
        </w:rPr>
        <w:footnoteReference w:id="1"/>
      </w:r>
      <w:r w:rsidRPr="006D00C9">
        <w:rPr>
          <w:color w:val="FF0000"/>
          <w:u w:val="single"/>
        </w:rPr>
        <w:t>:</w:t>
      </w:r>
    </w:p>
    <w:p w14:paraId="1468FFBD" w14:textId="191F8C2A" w:rsidR="004E0497" w:rsidRDefault="00157E45" w:rsidP="0000630F">
      <w:pPr>
        <w:rPr>
          <w:sz w:val="20"/>
          <w:szCs w:val="20"/>
        </w:rPr>
      </w:pPr>
      <w:r>
        <w:rPr>
          <w:sz w:val="20"/>
          <w:szCs w:val="20"/>
        </w:rPr>
        <w:t>…</w:t>
      </w:r>
    </w:p>
    <w:p w14:paraId="40CB4C9A" w14:textId="0BDCA5F3" w:rsidR="00157E45" w:rsidRPr="006D00C9" w:rsidRDefault="00157E45" w:rsidP="00157E45">
      <w:pPr>
        <w:pStyle w:val="Heading2"/>
        <w:spacing w:after="240"/>
        <w:rPr>
          <w:color w:val="FF0000"/>
          <w:u w:val="single"/>
        </w:rPr>
      </w:pPr>
      <w:bookmarkStart w:id="22" w:name="_Ref170134231"/>
      <w:bookmarkStart w:id="23" w:name="_Ref170134276"/>
      <w:bookmarkStart w:id="24" w:name="_Ref170134303"/>
      <w:bookmarkStart w:id="25" w:name="_Ref170134788"/>
      <w:bookmarkStart w:id="26" w:name="_Toc90410696"/>
      <w:bookmarkStart w:id="27" w:name="_Toc180680641"/>
      <w:r>
        <w:rPr>
          <w:color w:val="FF0000"/>
          <w:u w:val="single"/>
        </w:rPr>
        <w:t xml:space="preserve">6.4 </w:t>
      </w:r>
      <w:r w:rsidRPr="006D00C9">
        <w:rPr>
          <w:color w:val="FF0000"/>
          <w:u w:val="single"/>
        </w:rPr>
        <w:t>Total Embodied Carbon Emissions Results</w:t>
      </w:r>
      <w:bookmarkEnd w:id="22"/>
      <w:bookmarkEnd w:id="23"/>
      <w:bookmarkEnd w:id="24"/>
      <w:bookmarkEnd w:id="25"/>
      <w:bookmarkEnd w:id="26"/>
      <w:bookmarkEnd w:id="27"/>
    </w:p>
    <w:p w14:paraId="52467FBE" w14:textId="77777777" w:rsidR="00157E45" w:rsidRPr="006D00C9" w:rsidRDefault="00157E45" w:rsidP="00157E45">
      <w:pPr>
        <w:rPr>
          <w:rFonts w:eastAsiaTheme="minorEastAsia"/>
          <w:color w:val="FF0000"/>
          <w:u w:val="single"/>
        </w:rPr>
      </w:pPr>
      <w:r w:rsidRPr="006D00C9">
        <w:rPr>
          <w:rFonts w:eastAsiaTheme="minorEastAsia"/>
          <w:color w:val="FF0000"/>
          <w:u w:val="single"/>
        </w:rPr>
        <w:t xml:space="preserve">Total emissions results shall include the gross </w:t>
      </w:r>
      <w:r w:rsidRPr="006D00C9">
        <w:rPr>
          <w:rFonts w:eastAsiaTheme="minorEastAsia"/>
          <w:i/>
          <w:iCs/>
          <w:color w:val="FF0000"/>
          <w:u w:val="single"/>
        </w:rPr>
        <w:t>embodied carbon</w:t>
      </w:r>
      <w:r w:rsidRPr="006D00C9">
        <w:rPr>
          <w:rFonts w:eastAsiaTheme="minorEastAsia"/>
          <w:color w:val="FF0000"/>
          <w:u w:val="single"/>
        </w:rPr>
        <w:t xml:space="preserve"> emissions, gross carbon storage</w:t>
      </w:r>
      <w:r>
        <w:rPr>
          <w:rFonts w:eastAsiaTheme="minorEastAsia"/>
          <w:color w:val="FF0000"/>
          <w:u w:val="single"/>
        </w:rPr>
        <w:t xml:space="preserve">, </w:t>
      </w:r>
      <w:r w:rsidRPr="00D363C9">
        <w:rPr>
          <w:rFonts w:eastAsiaTheme="minorEastAsia"/>
          <w:color w:val="FF0000"/>
          <w:highlight w:val="yellow"/>
          <w:u w:val="single"/>
        </w:rPr>
        <w:t>carbon savings</w:t>
      </w:r>
      <w:r>
        <w:rPr>
          <w:rFonts w:eastAsiaTheme="minorEastAsia"/>
          <w:color w:val="FF0000"/>
          <w:u w:val="single"/>
        </w:rPr>
        <w:t>,</w:t>
      </w:r>
      <w:r w:rsidRPr="006D00C9">
        <w:rPr>
          <w:rFonts w:eastAsiaTheme="minorEastAsia"/>
          <w:color w:val="FF0000"/>
          <w:u w:val="single"/>
        </w:rPr>
        <w:t xml:space="preserve"> and net </w:t>
      </w:r>
      <w:r w:rsidRPr="006D00C9">
        <w:rPr>
          <w:rFonts w:eastAsiaTheme="minorEastAsia"/>
          <w:i/>
          <w:iCs/>
          <w:color w:val="FF0000"/>
          <w:u w:val="single"/>
        </w:rPr>
        <w:t>embodied carbon</w:t>
      </w:r>
      <w:r w:rsidRPr="006D00C9">
        <w:rPr>
          <w:rFonts w:eastAsiaTheme="minorEastAsia"/>
          <w:color w:val="FF0000"/>
          <w:u w:val="single"/>
        </w:rPr>
        <w:t xml:space="preserve"> for the </w:t>
      </w:r>
      <w:r w:rsidRPr="006D00C9">
        <w:rPr>
          <w:rFonts w:eastAsiaTheme="minorEastAsia"/>
          <w:i/>
          <w:iCs/>
          <w:color w:val="FF0000"/>
          <w:u w:val="single"/>
        </w:rPr>
        <w:t>assessed home</w:t>
      </w:r>
      <w:r w:rsidRPr="006D00C9">
        <w:rPr>
          <w:rFonts w:eastAsiaTheme="minorEastAsia"/>
          <w:color w:val="FF0000"/>
          <w:u w:val="single"/>
        </w:rPr>
        <w:t>.</w:t>
      </w:r>
    </w:p>
    <w:p w14:paraId="759F8705" w14:textId="77777777" w:rsidR="00157E45" w:rsidRPr="006D00C9" w:rsidRDefault="00157E45" w:rsidP="00157E45">
      <w:pPr>
        <w:rPr>
          <w:rFonts w:eastAsiaTheme="minorEastAsia"/>
          <w:color w:val="FF0000"/>
          <w:u w:val="single"/>
        </w:rPr>
      </w:pPr>
      <w:r w:rsidRPr="006D00C9">
        <w:rPr>
          <w:rFonts w:eastAsiaTheme="minorEastAsia"/>
          <w:color w:val="FF0000"/>
          <w:u w:val="single"/>
        </w:rPr>
        <w:t xml:space="preserve">For </w:t>
      </w:r>
      <w:r w:rsidRPr="006D00C9">
        <w:rPr>
          <w:rFonts w:eastAsiaTheme="minorEastAsia"/>
          <w:i/>
          <w:iCs/>
          <w:color w:val="FF0000"/>
          <w:u w:val="single"/>
        </w:rPr>
        <w:t>assessed homes</w:t>
      </w:r>
      <w:r w:rsidRPr="006D00C9">
        <w:rPr>
          <w:rFonts w:eastAsiaTheme="minorEastAsia"/>
          <w:color w:val="FF0000"/>
          <w:u w:val="single"/>
        </w:rPr>
        <w:t xml:space="preserve"> with </w:t>
      </w:r>
      <w:r w:rsidRPr="006D00C9">
        <w:rPr>
          <w:rFonts w:eastAsiaTheme="minorEastAsia"/>
          <w:i/>
          <w:iCs/>
          <w:color w:val="FF0000"/>
          <w:u w:val="single"/>
        </w:rPr>
        <w:t>attached dwelling units</w:t>
      </w:r>
      <w:r w:rsidRPr="006D00C9">
        <w:rPr>
          <w:rFonts w:eastAsiaTheme="minorEastAsia"/>
          <w:color w:val="FF0000"/>
          <w:u w:val="single"/>
        </w:rPr>
        <w:t xml:space="preserve">, the total </w:t>
      </w:r>
      <w:r w:rsidRPr="006D00C9">
        <w:rPr>
          <w:rFonts w:eastAsiaTheme="minorEastAsia"/>
          <w:i/>
          <w:iCs/>
          <w:color w:val="FF0000"/>
          <w:u w:val="single"/>
        </w:rPr>
        <w:t>embodied carbon</w:t>
      </w:r>
      <w:r w:rsidRPr="006D00C9">
        <w:rPr>
          <w:rFonts w:eastAsiaTheme="minorEastAsia"/>
          <w:color w:val="FF0000"/>
          <w:u w:val="single"/>
        </w:rPr>
        <w:t xml:space="preserve"> emissions results shall be calculated according to one of the methods below and stated explicitly in the report according to Section 8:</w:t>
      </w:r>
    </w:p>
    <w:p w14:paraId="040BB358" w14:textId="77777777" w:rsidR="00157E45" w:rsidRPr="006D00C9" w:rsidRDefault="00157E45" w:rsidP="00157E45">
      <w:pPr>
        <w:pStyle w:val="ListParagraph"/>
        <w:numPr>
          <w:ilvl w:val="0"/>
          <w:numId w:val="12"/>
        </w:numPr>
        <w:spacing w:line="259" w:lineRule="auto"/>
        <w:rPr>
          <w:rFonts w:eastAsiaTheme="minorEastAsia"/>
          <w:color w:val="FF0000"/>
          <w:u w:val="single"/>
        </w:rPr>
      </w:pPr>
      <w:r w:rsidRPr="006D00C9">
        <w:rPr>
          <w:rFonts w:eastAsiaTheme="minorEastAsia"/>
          <w:color w:val="FF0000"/>
          <w:u w:val="single"/>
        </w:rPr>
        <w:t xml:space="preserve">Whole Building Method: summation of the total gross </w:t>
      </w:r>
      <w:r w:rsidRPr="006D00C9">
        <w:rPr>
          <w:rFonts w:eastAsiaTheme="minorEastAsia"/>
          <w:i/>
          <w:color w:val="FF0000"/>
          <w:u w:val="single"/>
        </w:rPr>
        <w:t>embodied carbon</w:t>
      </w:r>
      <w:r w:rsidRPr="006D00C9">
        <w:rPr>
          <w:rFonts w:eastAsiaTheme="minorEastAsia"/>
          <w:color w:val="FF0000"/>
          <w:u w:val="single"/>
        </w:rPr>
        <w:t xml:space="preserve"> emissions, total gross carbon storage, </w:t>
      </w:r>
      <w:r w:rsidRPr="00D363C9">
        <w:rPr>
          <w:rFonts w:eastAsiaTheme="minorEastAsia"/>
          <w:color w:val="FF0000"/>
          <w:highlight w:val="yellow"/>
          <w:u w:val="single"/>
        </w:rPr>
        <w:t>total carbon savings</w:t>
      </w:r>
      <w:r>
        <w:rPr>
          <w:rFonts w:eastAsiaTheme="minorEastAsia"/>
          <w:color w:val="FF0000"/>
          <w:u w:val="single"/>
        </w:rPr>
        <w:t xml:space="preserve">, </w:t>
      </w:r>
      <w:r w:rsidRPr="006D00C9">
        <w:rPr>
          <w:rFonts w:eastAsiaTheme="minorEastAsia"/>
          <w:color w:val="FF0000"/>
          <w:u w:val="single"/>
        </w:rPr>
        <w:t xml:space="preserve">and total net </w:t>
      </w:r>
      <w:r w:rsidRPr="006D00C9">
        <w:rPr>
          <w:rFonts w:eastAsiaTheme="minorEastAsia"/>
          <w:i/>
          <w:color w:val="FF0000"/>
          <w:u w:val="single"/>
        </w:rPr>
        <w:t>embodied carbon</w:t>
      </w:r>
      <w:r w:rsidRPr="006D00C9">
        <w:rPr>
          <w:rFonts w:eastAsiaTheme="minorEastAsia"/>
          <w:color w:val="FF0000"/>
          <w:u w:val="single"/>
        </w:rPr>
        <w:t xml:space="preserve"> emissions for all </w:t>
      </w:r>
      <w:r w:rsidRPr="006D00C9">
        <w:rPr>
          <w:rFonts w:eastAsiaTheme="minorEastAsia"/>
          <w:i/>
          <w:iCs/>
          <w:color w:val="FF0000"/>
          <w:u w:val="single"/>
        </w:rPr>
        <w:t>Minimum Assessed Products</w:t>
      </w:r>
      <w:r w:rsidRPr="006D00C9">
        <w:rPr>
          <w:rFonts w:eastAsiaTheme="minorEastAsia"/>
          <w:color w:val="FF0000"/>
          <w:u w:val="single"/>
        </w:rPr>
        <w:t xml:space="preserve"> for the entire </w:t>
      </w:r>
      <w:r w:rsidRPr="006D00C9">
        <w:rPr>
          <w:rFonts w:eastAsiaTheme="minorEastAsia"/>
          <w:i/>
          <w:iCs/>
          <w:color w:val="FF0000"/>
          <w:u w:val="single"/>
        </w:rPr>
        <w:t>building</w:t>
      </w:r>
      <w:r w:rsidRPr="006D00C9">
        <w:rPr>
          <w:rFonts w:eastAsiaTheme="minorEastAsia"/>
          <w:color w:val="FF0000"/>
          <w:u w:val="single"/>
        </w:rPr>
        <w:t xml:space="preserve"> according to Section 5.4 and calculated according to Section 6.3</w:t>
      </w:r>
      <w:r w:rsidRPr="006D00C9">
        <w:rPr>
          <w:rFonts w:eastAsiaTheme="minorEastAsia"/>
          <w:color w:val="FF0000"/>
          <w:u w:val="single"/>
        </w:rPr>
        <w:br/>
      </w:r>
    </w:p>
    <w:p w14:paraId="4FEBF96E" w14:textId="77777777" w:rsidR="00157E45" w:rsidRPr="00D363C9" w:rsidRDefault="00157E45" w:rsidP="00157E45">
      <w:pPr>
        <w:pStyle w:val="ListParagraph"/>
        <w:numPr>
          <w:ilvl w:val="0"/>
          <w:numId w:val="12"/>
        </w:numPr>
        <w:spacing w:line="259" w:lineRule="auto"/>
        <w:rPr>
          <w:rFonts w:eastAsiaTheme="minorEastAsia"/>
          <w:strike/>
          <w:color w:val="FF0000"/>
          <w:highlight w:val="yellow"/>
          <w:u w:val="single"/>
        </w:rPr>
      </w:pPr>
      <w:r w:rsidRPr="00D363C9">
        <w:rPr>
          <w:rFonts w:eastAsiaTheme="minorEastAsia"/>
          <w:strike/>
          <w:color w:val="FF0000"/>
          <w:highlight w:val="yellow"/>
          <w:u w:val="single"/>
        </w:rPr>
        <w:lastRenderedPageBreak/>
        <w:t xml:space="preserve">Threshold Method: summation of the total gross </w:t>
      </w:r>
      <w:r w:rsidRPr="00D363C9">
        <w:rPr>
          <w:rFonts w:eastAsiaTheme="minorEastAsia"/>
          <w:i/>
          <w:iCs/>
          <w:strike/>
          <w:color w:val="FF0000"/>
          <w:highlight w:val="yellow"/>
          <w:u w:val="single"/>
        </w:rPr>
        <w:t>embodied carbon</w:t>
      </w:r>
      <w:r w:rsidRPr="00D363C9">
        <w:rPr>
          <w:rFonts w:eastAsiaTheme="minorEastAsia"/>
          <w:strike/>
          <w:color w:val="FF0000"/>
          <w:highlight w:val="yellow"/>
          <w:u w:val="single"/>
        </w:rPr>
        <w:t xml:space="preserve"> emissions, total gross carbon storage, and total net </w:t>
      </w:r>
      <w:r w:rsidRPr="00D363C9">
        <w:rPr>
          <w:rFonts w:eastAsiaTheme="minorEastAsia"/>
          <w:i/>
          <w:iCs/>
          <w:strike/>
          <w:color w:val="FF0000"/>
          <w:highlight w:val="yellow"/>
          <w:u w:val="single"/>
        </w:rPr>
        <w:t>embodied carbon</w:t>
      </w:r>
      <w:r w:rsidRPr="00D363C9">
        <w:rPr>
          <w:rFonts w:eastAsiaTheme="minorEastAsia"/>
          <w:strike/>
          <w:color w:val="FF0000"/>
          <w:highlight w:val="yellow"/>
          <w:u w:val="single"/>
        </w:rPr>
        <w:t xml:space="preserve"> emissions according to Section </w:t>
      </w:r>
      <w:r w:rsidRPr="00D363C9">
        <w:rPr>
          <w:rFonts w:eastAsiaTheme="minorEastAsia"/>
          <w:strike/>
          <w:color w:val="FF0000"/>
          <w:highlight w:val="yellow"/>
          <w:u w:val="single"/>
        </w:rPr>
        <w:fldChar w:fldCharType="begin"/>
      </w:r>
      <w:r w:rsidRPr="00D363C9">
        <w:rPr>
          <w:rFonts w:eastAsiaTheme="minorEastAsia"/>
          <w:strike/>
          <w:color w:val="FF0000"/>
          <w:highlight w:val="yellow"/>
          <w:u w:val="single"/>
        </w:rPr>
        <w:instrText xml:space="preserve"> REF _Ref170134276 \r \h  \* MERGEFORMAT </w:instrText>
      </w:r>
      <w:r w:rsidRPr="00D363C9">
        <w:rPr>
          <w:rFonts w:eastAsiaTheme="minorEastAsia"/>
          <w:strike/>
          <w:color w:val="FF0000"/>
          <w:highlight w:val="yellow"/>
          <w:u w:val="single"/>
        </w:rPr>
      </w:r>
      <w:r w:rsidRPr="00D363C9">
        <w:rPr>
          <w:rFonts w:eastAsiaTheme="minorEastAsia"/>
          <w:strike/>
          <w:color w:val="FF0000"/>
          <w:highlight w:val="yellow"/>
          <w:u w:val="single"/>
        </w:rPr>
        <w:fldChar w:fldCharType="separate"/>
      </w:r>
      <w:r w:rsidRPr="00D363C9">
        <w:rPr>
          <w:rFonts w:eastAsiaTheme="minorEastAsia"/>
          <w:strike/>
          <w:color w:val="FF0000"/>
          <w:highlight w:val="yellow"/>
          <w:u w:val="single"/>
        </w:rPr>
        <w:t>6.3</w:t>
      </w:r>
      <w:r w:rsidRPr="00D363C9">
        <w:rPr>
          <w:rFonts w:eastAsiaTheme="minorEastAsia"/>
          <w:strike/>
          <w:color w:val="FF0000"/>
          <w:highlight w:val="yellow"/>
          <w:u w:val="single"/>
        </w:rPr>
        <w:fldChar w:fldCharType="end"/>
      </w:r>
      <w:r w:rsidRPr="00D363C9">
        <w:rPr>
          <w:rFonts w:eastAsiaTheme="minorEastAsia"/>
          <w:strike/>
          <w:color w:val="FF0000"/>
          <w:highlight w:val="yellow"/>
          <w:u w:val="single"/>
        </w:rPr>
        <w:t xml:space="preserve"> according to the </w:t>
      </w:r>
      <w:r w:rsidRPr="00D363C9">
        <w:rPr>
          <w:rFonts w:eastAsiaTheme="minorEastAsia"/>
          <w:i/>
          <w:iCs/>
          <w:strike/>
          <w:color w:val="FF0000"/>
          <w:highlight w:val="yellow"/>
          <w:u w:val="single"/>
        </w:rPr>
        <w:t>threshold specifications</w:t>
      </w:r>
      <w:r w:rsidRPr="00D363C9">
        <w:rPr>
          <w:rFonts w:eastAsiaTheme="minorEastAsia"/>
          <w:strike/>
          <w:color w:val="FF0000"/>
          <w:highlight w:val="yellow"/>
          <w:u w:val="single"/>
        </w:rPr>
        <w:t xml:space="preserve"> for each unique </w:t>
      </w:r>
      <w:r w:rsidRPr="00D363C9">
        <w:rPr>
          <w:rFonts w:eastAsiaTheme="minorEastAsia"/>
          <w:i/>
          <w:iCs/>
          <w:strike/>
          <w:color w:val="FF0000"/>
          <w:highlight w:val="yellow"/>
          <w:u w:val="single"/>
        </w:rPr>
        <w:t>dwelling unit</w:t>
      </w:r>
      <w:r w:rsidRPr="00D363C9">
        <w:rPr>
          <w:rFonts w:eastAsiaTheme="minorEastAsia"/>
          <w:strike/>
          <w:color w:val="FF0000"/>
          <w:highlight w:val="yellow"/>
          <w:u w:val="single"/>
        </w:rPr>
        <w:t xml:space="preserve"> type resulting from the </w:t>
      </w:r>
      <w:r w:rsidRPr="00D363C9">
        <w:rPr>
          <w:rFonts w:eastAsiaTheme="minorEastAsia"/>
          <w:i/>
          <w:iCs/>
          <w:strike/>
          <w:color w:val="FF0000"/>
          <w:highlight w:val="yellow"/>
          <w:u w:val="single"/>
        </w:rPr>
        <w:t>worst-case analysis</w:t>
      </w:r>
      <w:r w:rsidRPr="00D363C9">
        <w:rPr>
          <w:rFonts w:eastAsiaTheme="minorEastAsia"/>
          <w:strike/>
          <w:color w:val="FF0000"/>
          <w:highlight w:val="yellow"/>
          <w:u w:val="single"/>
        </w:rPr>
        <w:t xml:space="preserve"> for the </w:t>
      </w:r>
      <w:r w:rsidRPr="00D363C9">
        <w:rPr>
          <w:rFonts w:eastAsiaTheme="minorEastAsia"/>
          <w:i/>
          <w:iCs/>
          <w:strike/>
          <w:color w:val="FF0000"/>
          <w:highlight w:val="yellow"/>
          <w:u w:val="single"/>
        </w:rPr>
        <w:t>Minimum Assessed Products</w:t>
      </w:r>
      <w:r w:rsidRPr="00D363C9">
        <w:rPr>
          <w:rFonts w:eastAsiaTheme="minorEastAsia"/>
          <w:strike/>
          <w:color w:val="FF0000"/>
          <w:highlight w:val="yellow"/>
          <w:u w:val="single"/>
        </w:rPr>
        <w:t xml:space="preserve"> according to Section 5.4 of that </w:t>
      </w:r>
      <w:r w:rsidRPr="00D363C9">
        <w:rPr>
          <w:rFonts w:eastAsiaTheme="minorEastAsia"/>
          <w:i/>
          <w:iCs/>
          <w:strike/>
          <w:color w:val="FF0000"/>
          <w:highlight w:val="yellow"/>
          <w:u w:val="single"/>
        </w:rPr>
        <w:t>dwelling unit</w:t>
      </w:r>
      <w:r w:rsidRPr="00D363C9">
        <w:rPr>
          <w:rFonts w:eastAsiaTheme="minorEastAsia"/>
          <w:strike/>
          <w:color w:val="FF0000"/>
          <w:highlight w:val="yellow"/>
          <w:u w:val="single"/>
        </w:rPr>
        <w:t xml:space="preserve"> type and multiplied by the number of </w:t>
      </w:r>
      <w:r w:rsidRPr="00D363C9">
        <w:rPr>
          <w:rFonts w:eastAsiaTheme="minorEastAsia"/>
          <w:i/>
          <w:iCs/>
          <w:strike/>
          <w:color w:val="FF0000"/>
          <w:highlight w:val="yellow"/>
          <w:u w:val="single"/>
        </w:rPr>
        <w:t>dwelling units</w:t>
      </w:r>
      <w:r w:rsidRPr="00D363C9">
        <w:rPr>
          <w:rFonts w:eastAsiaTheme="minorEastAsia"/>
          <w:strike/>
          <w:color w:val="FF0000"/>
          <w:highlight w:val="yellow"/>
          <w:u w:val="single"/>
        </w:rPr>
        <w:t xml:space="preserve"> per unique </w:t>
      </w:r>
      <w:r w:rsidRPr="00D363C9">
        <w:rPr>
          <w:rFonts w:eastAsiaTheme="minorEastAsia"/>
          <w:i/>
          <w:iCs/>
          <w:strike/>
          <w:color w:val="FF0000"/>
          <w:highlight w:val="yellow"/>
          <w:u w:val="single"/>
        </w:rPr>
        <w:t>dwelling unit</w:t>
      </w:r>
      <w:r w:rsidRPr="00D363C9">
        <w:rPr>
          <w:rFonts w:eastAsiaTheme="minorEastAsia"/>
          <w:strike/>
          <w:color w:val="FF0000"/>
          <w:highlight w:val="yellow"/>
          <w:u w:val="single"/>
        </w:rPr>
        <w:t xml:space="preserve"> type.</w:t>
      </w:r>
      <w:r w:rsidRPr="00D363C9">
        <w:rPr>
          <w:rStyle w:val="FootnoteReference"/>
          <w:rFonts w:eastAsiaTheme="minorEastAsia"/>
          <w:strike/>
          <w:color w:val="FF0000"/>
          <w:highlight w:val="yellow"/>
          <w:u w:val="single"/>
        </w:rPr>
        <w:footnoteReference w:id="2"/>
      </w:r>
      <w:r w:rsidRPr="00D363C9">
        <w:rPr>
          <w:rFonts w:eastAsiaTheme="minorEastAsia"/>
          <w:strike/>
          <w:color w:val="FF0000"/>
          <w:highlight w:val="yellow"/>
          <w:u w:val="single"/>
        </w:rPr>
        <w:t xml:space="preserve"> This result is summed with the total gross </w:t>
      </w:r>
      <w:r w:rsidRPr="00D363C9">
        <w:rPr>
          <w:rFonts w:eastAsiaTheme="minorEastAsia"/>
          <w:i/>
          <w:iCs/>
          <w:strike/>
          <w:color w:val="FF0000"/>
          <w:highlight w:val="yellow"/>
          <w:u w:val="single"/>
        </w:rPr>
        <w:t>embodied carbon</w:t>
      </w:r>
      <w:r w:rsidRPr="00D363C9">
        <w:rPr>
          <w:rFonts w:eastAsiaTheme="minorEastAsia"/>
          <w:strike/>
          <w:color w:val="FF0000"/>
          <w:highlight w:val="yellow"/>
          <w:u w:val="single"/>
        </w:rPr>
        <w:t xml:space="preserve"> emissions, total gross carbon storage, and total net </w:t>
      </w:r>
      <w:r w:rsidRPr="00D363C9">
        <w:rPr>
          <w:rFonts w:eastAsiaTheme="minorEastAsia"/>
          <w:i/>
          <w:iCs/>
          <w:strike/>
          <w:color w:val="FF0000"/>
          <w:highlight w:val="yellow"/>
          <w:u w:val="single"/>
        </w:rPr>
        <w:t>embodied carbon</w:t>
      </w:r>
      <w:r w:rsidRPr="00D363C9">
        <w:rPr>
          <w:rFonts w:eastAsiaTheme="minorEastAsia"/>
          <w:strike/>
          <w:color w:val="FF0000"/>
          <w:highlight w:val="yellow"/>
          <w:u w:val="single"/>
        </w:rPr>
        <w:t xml:space="preserve"> emissions according to Section </w:t>
      </w:r>
      <w:r w:rsidRPr="00D363C9">
        <w:rPr>
          <w:rFonts w:eastAsiaTheme="minorEastAsia"/>
          <w:strike/>
          <w:color w:val="FF0000"/>
          <w:highlight w:val="yellow"/>
          <w:u w:val="single"/>
        </w:rPr>
        <w:fldChar w:fldCharType="begin"/>
      </w:r>
      <w:r w:rsidRPr="00D363C9">
        <w:rPr>
          <w:rFonts w:eastAsiaTheme="minorEastAsia"/>
          <w:strike/>
          <w:color w:val="FF0000"/>
          <w:highlight w:val="yellow"/>
          <w:u w:val="single"/>
        </w:rPr>
        <w:instrText xml:space="preserve"> REF _Ref170134303 \r \h  \* MERGEFORMAT </w:instrText>
      </w:r>
      <w:r w:rsidRPr="00D363C9">
        <w:rPr>
          <w:rFonts w:eastAsiaTheme="minorEastAsia"/>
          <w:strike/>
          <w:color w:val="FF0000"/>
          <w:highlight w:val="yellow"/>
          <w:u w:val="single"/>
        </w:rPr>
      </w:r>
      <w:r w:rsidRPr="00D363C9">
        <w:rPr>
          <w:rFonts w:eastAsiaTheme="minorEastAsia"/>
          <w:strike/>
          <w:color w:val="FF0000"/>
          <w:highlight w:val="yellow"/>
          <w:u w:val="single"/>
        </w:rPr>
        <w:fldChar w:fldCharType="separate"/>
      </w:r>
      <w:r w:rsidRPr="00D363C9">
        <w:rPr>
          <w:rFonts w:eastAsiaTheme="minorEastAsia"/>
          <w:strike/>
          <w:color w:val="FF0000"/>
          <w:highlight w:val="yellow"/>
          <w:u w:val="single"/>
        </w:rPr>
        <w:t>6.3</w:t>
      </w:r>
      <w:r w:rsidRPr="00D363C9">
        <w:rPr>
          <w:rFonts w:eastAsiaTheme="minorEastAsia"/>
          <w:strike/>
          <w:color w:val="FF0000"/>
          <w:highlight w:val="yellow"/>
          <w:u w:val="single"/>
        </w:rPr>
        <w:fldChar w:fldCharType="end"/>
      </w:r>
      <w:r w:rsidRPr="00D363C9">
        <w:rPr>
          <w:rFonts w:eastAsiaTheme="minorEastAsia"/>
          <w:strike/>
          <w:color w:val="FF0000"/>
          <w:highlight w:val="yellow"/>
          <w:u w:val="single"/>
        </w:rPr>
        <w:t xml:space="preserve"> for the </w:t>
      </w:r>
      <w:r w:rsidRPr="00D363C9">
        <w:rPr>
          <w:rFonts w:eastAsiaTheme="minorEastAsia"/>
          <w:i/>
          <w:iCs/>
          <w:strike/>
          <w:color w:val="FF0000"/>
          <w:highlight w:val="yellow"/>
          <w:u w:val="single"/>
        </w:rPr>
        <w:t>Minimum Assessed Products</w:t>
      </w:r>
      <w:r w:rsidRPr="00D363C9">
        <w:rPr>
          <w:rFonts w:eastAsiaTheme="minorEastAsia"/>
          <w:strike/>
          <w:color w:val="FF0000"/>
          <w:highlight w:val="yellow"/>
          <w:u w:val="single"/>
        </w:rPr>
        <w:t xml:space="preserve"> for the foundation system, roof system, and common areas for the total </w:t>
      </w:r>
      <w:r w:rsidRPr="00D363C9">
        <w:rPr>
          <w:rFonts w:eastAsiaTheme="minorEastAsia"/>
          <w:i/>
          <w:iCs/>
          <w:strike/>
          <w:color w:val="FF0000"/>
          <w:highlight w:val="yellow"/>
          <w:u w:val="single"/>
        </w:rPr>
        <w:t>embodied carbon</w:t>
      </w:r>
      <w:r w:rsidRPr="00D363C9">
        <w:rPr>
          <w:rFonts w:eastAsiaTheme="minorEastAsia"/>
          <w:strike/>
          <w:color w:val="FF0000"/>
          <w:highlight w:val="yellow"/>
          <w:u w:val="single"/>
        </w:rPr>
        <w:t xml:space="preserve"> results representative of the </w:t>
      </w:r>
      <w:r w:rsidRPr="00D363C9">
        <w:rPr>
          <w:rFonts w:eastAsiaTheme="minorEastAsia"/>
          <w:i/>
          <w:iCs/>
          <w:strike/>
          <w:color w:val="FF0000"/>
          <w:highlight w:val="yellow"/>
          <w:u w:val="single"/>
        </w:rPr>
        <w:t>assessed home</w:t>
      </w:r>
      <w:r w:rsidRPr="00D363C9">
        <w:rPr>
          <w:rFonts w:eastAsiaTheme="minorEastAsia"/>
          <w:strike/>
          <w:color w:val="FF0000"/>
          <w:highlight w:val="yellow"/>
          <w:u w:val="single"/>
        </w:rPr>
        <w:t>.</w:t>
      </w:r>
    </w:p>
    <w:p w14:paraId="2FA0A449" w14:textId="77777777" w:rsidR="00157E45" w:rsidRDefault="00157E45" w:rsidP="0000630F">
      <w:pPr>
        <w:rPr>
          <w:sz w:val="20"/>
          <w:szCs w:val="20"/>
        </w:rPr>
      </w:pPr>
    </w:p>
    <w:sectPr w:rsidR="00157E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AB572" w14:textId="77777777" w:rsidR="00196255" w:rsidRDefault="00196255" w:rsidP="00237923">
      <w:pPr>
        <w:spacing w:after="0" w:line="240" w:lineRule="auto"/>
      </w:pPr>
      <w:r>
        <w:separator/>
      </w:r>
    </w:p>
  </w:endnote>
  <w:endnote w:type="continuationSeparator" w:id="0">
    <w:p w14:paraId="2691A8AC" w14:textId="77777777" w:rsidR="00196255" w:rsidRDefault="00196255"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B9A7" w14:textId="77777777" w:rsidR="00196255" w:rsidRDefault="00196255" w:rsidP="00237923">
      <w:pPr>
        <w:spacing w:after="0" w:line="240" w:lineRule="auto"/>
      </w:pPr>
      <w:r>
        <w:separator/>
      </w:r>
    </w:p>
  </w:footnote>
  <w:footnote w:type="continuationSeparator" w:id="0">
    <w:p w14:paraId="5F5997CC" w14:textId="77777777" w:rsidR="00196255" w:rsidRDefault="00196255" w:rsidP="00237923">
      <w:pPr>
        <w:spacing w:after="0" w:line="240" w:lineRule="auto"/>
      </w:pPr>
      <w:r>
        <w:continuationSeparator/>
      </w:r>
    </w:p>
  </w:footnote>
  <w:footnote w:id="1">
    <w:p w14:paraId="7A5872F1" w14:textId="77777777" w:rsidR="00157E45" w:rsidRPr="00CE5A3C" w:rsidRDefault="00157E45" w:rsidP="00157E45">
      <w:pPr>
        <w:pStyle w:val="FootnoteText"/>
        <w:rPr>
          <w:color w:val="FF0000"/>
          <w:u w:val="single"/>
        </w:rPr>
      </w:pPr>
      <w:r w:rsidRPr="00CE5A3C">
        <w:rPr>
          <w:rStyle w:val="FootnoteReference"/>
          <w:color w:val="FF0000"/>
          <w:u w:val="single"/>
        </w:rPr>
        <w:footnoteRef/>
      </w:r>
      <w:r w:rsidRPr="00CE5A3C">
        <w:rPr>
          <w:color w:val="FF0000"/>
          <w:u w:val="single"/>
        </w:rPr>
        <w:t xml:space="preserve"> (Informative Note) This calculation assumes 0.017 kg (0.6 oz.) of refrigerant per 0.3m (1 ft) of 9.5 mm (3/8 in.) liquid refrigerant line.</w:t>
      </w:r>
    </w:p>
  </w:footnote>
  <w:footnote w:id="2">
    <w:p w14:paraId="2ACCCF39" w14:textId="77777777" w:rsidR="00157E45" w:rsidRPr="00312B0B" w:rsidRDefault="00157E45" w:rsidP="00157E45">
      <w:pPr>
        <w:pStyle w:val="FootnoteText"/>
        <w:rPr>
          <w:color w:val="FF0000"/>
          <w:u w:val="single"/>
        </w:rPr>
      </w:pPr>
      <w:r w:rsidRPr="00312B0B">
        <w:rPr>
          <w:rStyle w:val="FootnoteReference"/>
          <w:color w:val="FF0000"/>
          <w:u w:val="single"/>
        </w:rPr>
        <w:footnoteRef/>
      </w:r>
      <w:r w:rsidRPr="00312B0B">
        <w:rPr>
          <w:color w:val="FF0000"/>
          <w:u w:val="single"/>
        </w:rPr>
        <w:t xml:space="preserve"> (Normative Note) Dwelling Units with the same construction type, same envelope systems, same number of bedrooms, same number of stories within the unit, same window area (+ 10 percent), same conditioned floor area (+10 percent, not to exceed +100 square feet), and same ceiling height (+0.5 feet) are permitted to be the same unit type.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5FEC"/>
    <w:multiLevelType w:val="hybridMultilevel"/>
    <w:tmpl w:val="788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EBF97"/>
    <w:multiLevelType w:val="hybridMultilevel"/>
    <w:tmpl w:val="98965A04"/>
    <w:lvl w:ilvl="0" w:tplc="D0F29002">
      <w:start w:val="1"/>
      <w:numFmt w:val="lowerRoman"/>
      <w:lvlText w:val="%1."/>
      <w:lvlJc w:val="right"/>
      <w:pPr>
        <w:ind w:left="720" w:hanging="360"/>
      </w:pPr>
    </w:lvl>
    <w:lvl w:ilvl="1" w:tplc="18944214">
      <w:start w:val="1"/>
      <w:numFmt w:val="lowerLetter"/>
      <w:lvlText w:val="%2."/>
      <w:lvlJc w:val="left"/>
      <w:pPr>
        <w:ind w:left="1440" w:hanging="360"/>
      </w:pPr>
    </w:lvl>
    <w:lvl w:ilvl="2" w:tplc="647451EE">
      <w:start w:val="1"/>
      <w:numFmt w:val="lowerRoman"/>
      <w:lvlText w:val="%3."/>
      <w:lvlJc w:val="right"/>
      <w:pPr>
        <w:ind w:left="2160" w:hanging="180"/>
      </w:pPr>
    </w:lvl>
    <w:lvl w:ilvl="3" w:tplc="78B05B1E">
      <w:start w:val="1"/>
      <w:numFmt w:val="decimal"/>
      <w:lvlText w:val="%4."/>
      <w:lvlJc w:val="left"/>
      <w:pPr>
        <w:ind w:left="2880" w:hanging="360"/>
      </w:pPr>
    </w:lvl>
    <w:lvl w:ilvl="4" w:tplc="22545FFE">
      <w:start w:val="1"/>
      <w:numFmt w:val="lowerLetter"/>
      <w:lvlText w:val="%5."/>
      <w:lvlJc w:val="left"/>
      <w:pPr>
        <w:ind w:left="3600" w:hanging="360"/>
      </w:pPr>
    </w:lvl>
    <w:lvl w:ilvl="5" w:tplc="F202B8B4">
      <w:start w:val="1"/>
      <w:numFmt w:val="lowerRoman"/>
      <w:lvlText w:val="%6."/>
      <w:lvlJc w:val="right"/>
      <w:pPr>
        <w:ind w:left="4320" w:hanging="180"/>
      </w:pPr>
    </w:lvl>
    <w:lvl w:ilvl="6" w:tplc="847CF3AE">
      <w:start w:val="1"/>
      <w:numFmt w:val="decimal"/>
      <w:lvlText w:val="%7."/>
      <w:lvlJc w:val="left"/>
      <w:pPr>
        <w:ind w:left="5040" w:hanging="360"/>
      </w:pPr>
    </w:lvl>
    <w:lvl w:ilvl="7" w:tplc="020256BC">
      <w:start w:val="1"/>
      <w:numFmt w:val="lowerLetter"/>
      <w:lvlText w:val="%8."/>
      <w:lvlJc w:val="left"/>
      <w:pPr>
        <w:ind w:left="5760" w:hanging="360"/>
      </w:pPr>
    </w:lvl>
    <w:lvl w:ilvl="8" w:tplc="CFFEF750">
      <w:start w:val="1"/>
      <w:numFmt w:val="lowerRoman"/>
      <w:lvlText w:val="%9."/>
      <w:lvlJc w:val="right"/>
      <w:pPr>
        <w:ind w:left="6480" w:hanging="180"/>
      </w:pPr>
    </w:lvl>
  </w:abstractNum>
  <w:abstractNum w:abstractNumId="4" w15:restartNumberingAfterBreak="0">
    <w:nsid w:val="401EF216"/>
    <w:multiLevelType w:val="hybridMultilevel"/>
    <w:tmpl w:val="0AA6D4D6"/>
    <w:lvl w:ilvl="0" w:tplc="B7B893AA">
      <w:start w:val="1"/>
      <w:numFmt w:val="lowerRoman"/>
      <w:lvlText w:val="%1."/>
      <w:lvlJc w:val="right"/>
      <w:pPr>
        <w:ind w:left="720" w:hanging="360"/>
      </w:pPr>
    </w:lvl>
    <w:lvl w:ilvl="1" w:tplc="48D0D13A">
      <w:start w:val="1"/>
      <w:numFmt w:val="lowerLetter"/>
      <w:lvlText w:val="%2."/>
      <w:lvlJc w:val="left"/>
      <w:pPr>
        <w:ind w:left="1440" w:hanging="360"/>
      </w:pPr>
    </w:lvl>
    <w:lvl w:ilvl="2" w:tplc="29A05464">
      <w:start w:val="1"/>
      <w:numFmt w:val="lowerRoman"/>
      <w:lvlText w:val="%3."/>
      <w:lvlJc w:val="right"/>
      <w:pPr>
        <w:ind w:left="2160" w:hanging="180"/>
      </w:pPr>
    </w:lvl>
    <w:lvl w:ilvl="3" w:tplc="0D2006B6">
      <w:start w:val="1"/>
      <w:numFmt w:val="decimal"/>
      <w:lvlText w:val="%4."/>
      <w:lvlJc w:val="left"/>
      <w:pPr>
        <w:ind w:left="2880" w:hanging="360"/>
      </w:pPr>
    </w:lvl>
    <w:lvl w:ilvl="4" w:tplc="B6600836">
      <w:start w:val="1"/>
      <w:numFmt w:val="lowerLetter"/>
      <w:lvlText w:val="%5."/>
      <w:lvlJc w:val="left"/>
      <w:pPr>
        <w:ind w:left="3600" w:hanging="360"/>
      </w:pPr>
    </w:lvl>
    <w:lvl w:ilvl="5" w:tplc="5CF83244">
      <w:start w:val="1"/>
      <w:numFmt w:val="lowerRoman"/>
      <w:lvlText w:val="%6."/>
      <w:lvlJc w:val="right"/>
      <w:pPr>
        <w:ind w:left="4320" w:hanging="180"/>
      </w:pPr>
    </w:lvl>
    <w:lvl w:ilvl="6" w:tplc="E0AEF134">
      <w:start w:val="1"/>
      <w:numFmt w:val="decimal"/>
      <w:lvlText w:val="%7."/>
      <w:lvlJc w:val="left"/>
      <w:pPr>
        <w:ind w:left="5040" w:hanging="360"/>
      </w:pPr>
    </w:lvl>
    <w:lvl w:ilvl="7" w:tplc="F14A61CE">
      <w:start w:val="1"/>
      <w:numFmt w:val="lowerLetter"/>
      <w:lvlText w:val="%8."/>
      <w:lvlJc w:val="left"/>
      <w:pPr>
        <w:ind w:left="5760" w:hanging="360"/>
      </w:pPr>
    </w:lvl>
    <w:lvl w:ilvl="8" w:tplc="845C4418">
      <w:start w:val="1"/>
      <w:numFmt w:val="lowerRoman"/>
      <w:lvlText w:val="%9."/>
      <w:lvlJc w:val="right"/>
      <w:pPr>
        <w:ind w:left="6480" w:hanging="180"/>
      </w:pPr>
    </w:lvl>
  </w:abstractNum>
  <w:abstractNum w:abstractNumId="5" w15:restartNumberingAfterBreak="0">
    <w:nsid w:val="426C2C7C"/>
    <w:multiLevelType w:val="hybridMultilevel"/>
    <w:tmpl w:val="859C2FB8"/>
    <w:lvl w:ilvl="0" w:tplc="335246AC">
      <w:start w:val="1"/>
      <w:numFmt w:val="upperLetter"/>
      <w:lvlText w:val="%1."/>
      <w:lvlJc w:val="left"/>
      <w:pPr>
        <w:ind w:left="360" w:hanging="360"/>
      </w:pPr>
    </w:lvl>
    <w:lvl w:ilvl="1" w:tplc="9C2CCE34">
      <w:start w:val="1"/>
      <w:numFmt w:val="lowerLetter"/>
      <w:lvlText w:val="%2."/>
      <w:lvlJc w:val="left"/>
      <w:pPr>
        <w:ind w:left="1080" w:hanging="360"/>
      </w:pPr>
    </w:lvl>
    <w:lvl w:ilvl="2" w:tplc="50121CE4">
      <w:start w:val="1"/>
      <w:numFmt w:val="lowerRoman"/>
      <w:lvlText w:val="%3."/>
      <w:lvlJc w:val="right"/>
      <w:pPr>
        <w:ind w:left="1800" w:hanging="180"/>
      </w:pPr>
    </w:lvl>
    <w:lvl w:ilvl="3" w:tplc="CBFAEE6E">
      <w:start w:val="1"/>
      <w:numFmt w:val="decimal"/>
      <w:lvlText w:val="%4."/>
      <w:lvlJc w:val="left"/>
      <w:pPr>
        <w:ind w:left="2520" w:hanging="360"/>
      </w:pPr>
    </w:lvl>
    <w:lvl w:ilvl="4" w:tplc="7FE2718A">
      <w:start w:val="1"/>
      <w:numFmt w:val="lowerLetter"/>
      <w:lvlText w:val="%5."/>
      <w:lvlJc w:val="left"/>
      <w:pPr>
        <w:ind w:left="3240" w:hanging="360"/>
      </w:pPr>
    </w:lvl>
    <w:lvl w:ilvl="5" w:tplc="5BAC422A">
      <w:start w:val="1"/>
      <w:numFmt w:val="lowerRoman"/>
      <w:lvlText w:val="%6."/>
      <w:lvlJc w:val="right"/>
      <w:pPr>
        <w:ind w:left="3960" w:hanging="180"/>
      </w:pPr>
    </w:lvl>
    <w:lvl w:ilvl="6" w:tplc="A58A2A70">
      <w:start w:val="1"/>
      <w:numFmt w:val="decimal"/>
      <w:lvlText w:val="%7."/>
      <w:lvlJc w:val="left"/>
      <w:pPr>
        <w:ind w:left="4680" w:hanging="360"/>
      </w:pPr>
    </w:lvl>
    <w:lvl w:ilvl="7" w:tplc="878CA0EC">
      <w:start w:val="1"/>
      <w:numFmt w:val="lowerLetter"/>
      <w:lvlText w:val="%8."/>
      <w:lvlJc w:val="left"/>
      <w:pPr>
        <w:ind w:left="5400" w:hanging="360"/>
      </w:pPr>
    </w:lvl>
    <w:lvl w:ilvl="8" w:tplc="30A8FAD2">
      <w:start w:val="1"/>
      <w:numFmt w:val="lowerRoman"/>
      <w:lvlText w:val="%9."/>
      <w:lvlJc w:val="right"/>
      <w:pPr>
        <w:ind w:left="6120" w:hanging="180"/>
      </w:pPr>
    </w:lvl>
  </w:abstractNum>
  <w:abstractNum w:abstractNumId="6" w15:restartNumberingAfterBreak="0">
    <w:nsid w:val="4BB4D6E1"/>
    <w:multiLevelType w:val="hybridMultilevel"/>
    <w:tmpl w:val="80AE3758"/>
    <w:lvl w:ilvl="0" w:tplc="7B141CBC">
      <w:start w:val="1"/>
      <w:numFmt w:val="lowerRoman"/>
      <w:lvlText w:val="%1."/>
      <w:lvlJc w:val="right"/>
      <w:pPr>
        <w:ind w:left="720" w:hanging="360"/>
      </w:pPr>
    </w:lvl>
    <w:lvl w:ilvl="1" w:tplc="A210E828">
      <w:start w:val="1"/>
      <w:numFmt w:val="lowerLetter"/>
      <w:lvlText w:val="%2."/>
      <w:lvlJc w:val="left"/>
      <w:pPr>
        <w:ind w:left="1440" w:hanging="360"/>
      </w:pPr>
    </w:lvl>
    <w:lvl w:ilvl="2" w:tplc="D9A8A4BC">
      <w:start w:val="1"/>
      <w:numFmt w:val="lowerRoman"/>
      <w:lvlText w:val="%3."/>
      <w:lvlJc w:val="right"/>
      <w:pPr>
        <w:ind w:left="2160" w:hanging="180"/>
      </w:pPr>
    </w:lvl>
    <w:lvl w:ilvl="3" w:tplc="42A4F0B6">
      <w:start w:val="1"/>
      <w:numFmt w:val="decimal"/>
      <w:lvlText w:val="%4."/>
      <w:lvlJc w:val="left"/>
      <w:pPr>
        <w:ind w:left="2880" w:hanging="360"/>
      </w:pPr>
    </w:lvl>
    <w:lvl w:ilvl="4" w:tplc="3B06BC40">
      <w:start w:val="1"/>
      <w:numFmt w:val="lowerLetter"/>
      <w:lvlText w:val="%5."/>
      <w:lvlJc w:val="left"/>
      <w:pPr>
        <w:ind w:left="3600" w:hanging="360"/>
      </w:pPr>
    </w:lvl>
    <w:lvl w:ilvl="5" w:tplc="6960F95A">
      <w:start w:val="1"/>
      <w:numFmt w:val="lowerRoman"/>
      <w:lvlText w:val="%6."/>
      <w:lvlJc w:val="right"/>
      <w:pPr>
        <w:ind w:left="4320" w:hanging="180"/>
      </w:pPr>
    </w:lvl>
    <w:lvl w:ilvl="6" w:tplc="76FAB298">
      <w:start w:val="1"/>
      <w:numFmt w:val="decimal"/>
      <w:lvlText w:val="%7."/>
      <w:lvlJc w:val="left"/>
      <w:pPr>
        <w:ind w:left="5040" w:hanging="360"/>
      </w:pPr>
    </w:lvl>
    <w:lvl w:ilvl="7" w:tplc="2496D338">
      <w:start w:val="1"/>
      <w:numFmt w:val="lowerLetter"/>
      <w:lvlText w:val="%8."/>
      <w:lvlJc w:val="left"/>
      <w:pPr>
        <w:ind w:left="5760" w:hanging="360"/>
      </w:pPr>
    </w:lvl>
    <w:lvl w:ilvl="8" w:tplc="A52AC364">
      <w:start w:val="1"/>
      <w:numFmt w:val="lowerRoman"/>
      <w:lvlText w:val="%9."/>
      <w:lvlJc w:val="right"/>
      <w:pPr>
        <w:ind w:left="6480" w:hanging="180"/>
      </w:pPr>
    </w:lvl>
  </w:abstractNum>
  <w:abstractNum w:abstractNumId="7" w15:restartNumberingAfterBreak="0">
    <w:nsid w:val="550019A7"/>
    <w:multiLevelType w:val="hybridMultilevel"/>
    <w:tmpl w:val="B07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85B70"/>
    <w:multiLevelType w:val="hybridMultilevel"/>
    <w:tmpl w:val="278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B0823"/>
    <w:multiLevelType w:val="hybridMultilevel"/>
    <w:tmpl w:val="9E22E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B113A"/>
    <w:multiLevelType w:val="hybridMultilevel"/>
    <w:tmpl w:val="396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77B84"/>
    <w:multiLevelType w:val="hybridMultilevel"/>
    <w:tmpl w:val="88BC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1"/>
  </w:num>
  <w:num w:numId="2" w16cid:durableId="855341459">
    <w:abstractNumId w:val="7"/>
  </w:num>
  <w:num w:numId="3" w16cid:durableId="625698953">
    <w:abstractNumId w:val="0"/>
  </w:num>
  <w:num w:numId="4" w16cid:durableId="1259292676">
    <w:abstractNumId w:val="5"/>
  </w:num>
  <w:num w:numId="5" w16cid:durableId="805660714">
    <w:abstractNumId w:val="3"/>
  </w:num>
  <w:num w:numId="6" w16cid:durableId="731078519">
    <w:abstractNumId w:val="4"/>
  </w:num>
  <w:num w:numId="7" w16cid:durableId="1948272157">
    <w:abstractNumId w:val="6"/>
  </w:num>
  <w:num w:numId="8" w16cid:durableId="322006689">
    <w:abstractNumId w:val="10"/>
  </w:num>
  <w:num w:numId="9" w16cid:durableId="1807159586">
    <w:abstractNumId w:val="11"/>
  </w:num>
  <w:num w:numId="10" w16cid:durableId="2035766702">
    <w:abstractNumId w:val="2"/>
  </w:num>
  <w:num w:numId="11" w16cid:durableId="1757441169">
    <w:abstractNumId w:val="8"/>
  </w:num>
  <w:num w:numId="12" w16cid:durableId="801537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7667E"/>
    <w:rsid w:val="000B303E"/>
    <w:rsid w:val="000B4F1C"/>
    <w:rsid w:val="000C0FDE"/>
    <w:rsid w:val="000E18FA"/>
    <w:rsid w:val="00157E45"/>
    <w:rsid w:val="001747BD"/>
    <w:rsid w:val="00196255"/>
    <w:rsid w:val="002377BD"/>
    <w:rsid w:val="00237923"/>
    <w:rsid w:val="00255E22"/>
    <w:rsid w:val="002E6930"/>
    <w:rsid w:val="00317275"/>
    <w:rsid w:val="00374970"/>
    <w:rsid w:val="00454F97"/>
    <w:rsid w:val="00470334"/>
    <w:rsid w:val="004B2396"/>
    <w:rsid w:val="004E0497"/>
    <w:rsid w:val="00553D0D"/>
    <w:rsid w:val="005C1477"/>
    <w:rsid w:val="005E11FD"/>
    <w:rsid w:val="0060624D"/>
    <w:rsid w:val="0076551E"/>
    <w:rsid w:val="00794782"/>
    <w:rsid w:val="00852539"/>
    <w:rsid w:val="00866FB3"/>
    <w:rsid w:val="0089043A"/>
    <w:rsid w:val="00891D8C"/>
    <w:rsid w:val="0089294F"/>
    <w:rsid w:val="008B5D59"/>
    <w:rsid w:val="008C2F70"/>
    <w:rsid w:val="00A519E2"/>
    <w:rsid w:val="00AB6728"/>
    <w:rsid w:val="00AC2AF3"/>
    <w:rsid w:val="00C1713E"/>
    <w:rsid w:val="00D269FF"/>
    <w:rsid w:val="00D575CF"/>
    <w:rsid w:val="00D824DE"/>
    <w:rsid w:val="00EA29AB"/>
    <w:rsid w:val="00F26E81"/>
    <w:rsid w:val="00F44C65"/>
    <w:rsid w:val="00F4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table" w:styleId="TableGrid">
    <w:name w:val="Table Grid"/>
    <w:basedOn w:val="TableNormal"/>
    <w:uiPriority w:val="39"/>
    <w:rsid w:val="008904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043A"/>
    <w:pPr>
      <w:spacing w:after="200" w:line="240" w:lineRule="auto"/>
    </w:pPr>
    <w:rPr>
      <w:rFonts w:ascii="Source Sans Pro" w:hAnsi="Source Sans Pro"/>
      <w:i/>
      <w:iCs/>
      <w:color w:val="000000" w:themeColor="text1"/>
      <w:kern w:val="0"/>
      <w:sz w:val="18"/>
      <w:szCs w:val="18"/>
      <w14:ligatures w14:val="none"/>
    </w:rPr>
  </w:style>
  <w:style w:type="paragraph" w:styleId="FootnoteText">
    <w:name w:val="footnote text"/>
    <w:basedOn w:val="Normal"/>
    <w:link w:val="FootnoteTextChar"/>
    <w:uiPriority w:val="99"/>
    <w:unhideWhenUsed/>
    <w:rsid w:val="0089043A"/>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89043A"/>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89043A"/>
    <w:rPr>
      <w:vertAlign w:val="superscript"/>
    </w:rPr>
  </w:style>
  <w:style w:type="character" w:styleId="Hyperlink">
    <w:name w:val="Hyperlink"/>
    <w:basedOn w:val="DefaultParagraphFont"/>
    <w:uiPriority w:val="99"/>
    <w:unhideWhenUsed/>
    <w:rsid w:val="0089294F"/>
    <w:rPr>
      <w:color w:val="467886" w:themeColor="hyperlink"/>
      <w:u w:val="single"/>
    </w:rPr>
  </w:style>
  <w:style w:type="character" w:styleId="UnresolvedMention">
    <w:name w:val="Unresolved Mention"/>
    <w:basedOn w:val="DefaultParagraphFont"/>
    <w:uiPriority w:val="99"/>
    <w:semiHidden/>
    <w:unhideWhenUsed/>
    <w:rsid w:val="0089294F"/>
    <w:rPr>
      <w:color w:val="605E5C"/>
      <w:shd w:val="clear" w:color="auto" w:fill="E1DFDD"/>
    </w:rPr>
  </w:style>
  <w:style w:type="character" w:styleId="FollowedHyperlink">
    <w:name w:val="FollowedHyperlink"/>
    <w:basedOn w:val="DefaultParagraphFont"/>
    <w:uiPriority w:val="99"/>
    <w:semiHidden/>
    <w:unhideWhenUsed/>
    <w:rsid w:val="008929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Amy Schmidt</cp:lastModifiedBy>
  <cp:revision>3</cp:revision>
  <dcterms:created xsi:type="dcterms:W3CDTF">2025-01-20T18:32:00Z</dcterms:created>
  <dcterms:modified xsi:type="dcterms:W3CDTF">2025-01-20T18:42:00Z</dcterms:modified>
</cp:coreProperties>
</file>