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137D42C5" w14:textId="55366DC3" w:rsidR="004E0497" w:rsidRPr="000D5D5B" w:rsidRDefault="00860E10" w:rsidP="0000630F">
      <w:pPr>
        <w:pStyle w:val="ListParagraph"/>
        <w:numPr>
          <w:ilvl w:val="0"/>
          <w:numId w:val="11"/>
        </w:numPr>
        <w:rPr>
          <w:b/>
          <w:bCs/>
        </w:rPr>
      </w:pPr>
      <w:r>
        <w:t xml:space="preserve">There does not seem to be a line item that reasonably addresses insulation materials waste rates.  It is common practice to allow for 8% unless it used for modular off-site </w:t>
      </w:r>
      <w:proofErr w:type="spellStart"/>
      <w:r>
        <w:t>constructin</w:t>
      </w:r>
      <w:proofErr w:type="spellEnd"/>
      <w:r>
        <w:t xml:space="preserve"> where rates are much lower.  Often </w:t>
      </w:r>
      <w:r w:rsidR="00D74622">
        <w:t xml:space="preserve">insulation cut off pieces are used to fill in smaller areas needing insulation so the </w:t>
      </w:r>
      <w:proofErr w:type="spellStart"/>
      <w:r w:rsidR="00D74622">
        <w:t>scap</w:t>
      </w:r>
      <w:proofErr w:type="spellEnd"/>
      <w:r w:rsidR="00D74622">
        <w:t xml:space="preserve"> rates are often low.</w:t>
      </w:r>
    </w:p>
    <w:p w14:paraId="0FE3ACED" w14:textId="6ACF3F23" w:rsidR="000D5D5B" w:rsidRPr="00D74622" w:rsidRDefault="000D5D5B" w:rsidP="0000630F">
      <w:pPr>
        <w:pStyle w:val="ListParagraph"/>
        <w:numPr>
          <w:ilvl w:val="0"/>
          <w:numId w:val="11"/>
        </w:numPr>
        <w:rPr>
          <w:b/>
          <w:bCs/>
        </w:rPr>
      </w:pPr>
      <w:r>
        <w:t xml:space="preserve">There are several places in 10.3.1 that mention “brand”.  At least in the case of insulation this would not be helpful and in some cases be harmful to verification efforts without more information.  For instance, there are several insulation materials on the market from the same </w:t>
      </w:r>
      <w:proofErr w:type="spellStart"/>
      <w:r>
        <w:t>manufacurers</w:t>
      </w:r>
      <w:proofErr w:type="spellEnd"/>
      <w:r>
        <w:t xml:space="preserve"> with the same brand </w:t>
      </w:r>
      <w:proofErr w:type="gramStart"/>
      <w:r>
        <w:t>name</w:t>
      </w:r>
      <w:proofErr w:type="gramEnd"/>
      <w:r>
        <w:t xml:space="preserve"> but they have different product names and their R-value, function, and GWP contributions are very different.</w:t>
      </w:r>
    </w:p>
    <w:p w14:paraId="3ADFCCE6" w14:textId="1C5F6A49"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39BD635A" w14:textId="77777777" w:rsidR="00860E10" w:rsidRPr="006D00C9" w:rsidRDefault="00860E10" w:rsidP="00860E10">
      <w:pPr>
        <w:pStyle w:val="Caption"/>
        <w:keepNext/>
        <w:rPr>
          <w:color w:val="FF0000"/>
          <w:u w:val="single"/>
        </w:rPr>
      </w:pPr>
      <w:bookmarkStart w:id="0" w:name="_Ref170135522"/>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10.2</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bookmarkEnd w:id="0"/>
      <w:r w:rsidRPr="006D00C9">
        <w:rPr>
          <w:color w:val="FF0000"/>
          <w:u w:val="single"/>
        </w:rPr>
        <w:t xml:space="preserve"> Waste Rates for Products</w:t>
      </w:r>
    </w:p>
    <w:tbl>
      <w:tblPr>
        <w:tblStyle w:val="TableGrid"/>
        <w:tblW w:w="0" w:type="auto"/>
        <w:tblLook w:val="04A0" w:firstRow="1" w:lastRow="0" w:firstColumn="1" w:lastColumn="0" w:noHBand="0" w:noVBand="1"/>
      </w:tblPr>
      <w:tblGrid>
        <w:gridCol w:w="6385"/>
        <w:gridCol w:w="2965"/>
      </w:tblGrid>
      <w:tr w:rsidR="00860E10" w:rsidRPr="006D00C9" w14:paraId="0B3C0A47" w14:textId="77777777" w:rsidTr="005A388F">
        <w:tc>
          <w:tcPr>
            <w:tcW w:w="6385" w:type="dxa"/>
            <w:shd w:val="clear" w:color="auto" w:fill="D9D9D9" w:themeFill="background1" w:themeFillShade="D9"/>
          </w:tcPr>
          <w:p w14:paraId="31995481" w14:textId="77777777" w:rsidR="00860E10" w:rsidRPr="006D00C9" w:rsidRDefault="00860E10" w:rsidP="005A388F">
            <w:pPr>
              <w:jc w:val="center"/>
              <w:rPr>
                <w:b/>
                <w:bCs/>
                <w:color w:val="FF0000"/>
                <w:sz w:val="18"/>
                <w:szCs w:val="18"/>
                <w:u w:val="single"/>
              </w:rPr>
            </w:pPr>
            <w:r w:rsidRPr="006D00C9">
              <w:rPr>
                <w:b/>
                <w:bCs/>
                <w:color w:val="FF0000"/>
                <w:sz w:val="18"/>
                <w:szCs w:val="18"/>
                <w:u w:val="single"/>
              </w:rPr>
              <w:t>Building Product</w:t>
            </w:r>
          </w:p>
        </w:tc>
        <w:tc>
          <w:tcPr>
            <w:tcW w:w="2965" w:type="dxa"/>
            <w:shd w:val="clear" w:color="auto" w:fill="D9D9D9" w:themeFill="background1" w:themeFillShade="D9"/>
          </w:tcPr>
          <w:p w14:paraId="624BA66A" w14:textId="77777777" w:rsidR="00860E10" w:rsidRPr="006D00C9" w:rsidRDefault="00860E10" w:rsidP="005A388F">
            <w:pPr>
              <w:jc w:val="center"/>
              <w:rPr>
                <w:b/>
                <w:bCs/>
                <w:color w:val="FF0000"/>
                <w:sz w:val="18"/>
                <w:szCs w:val="18"/>
                <w:u w:val="single"/>
              </w:rPr>
            </w:pPr>
            <w:r w:rsidRPr="006D00C9">
              <w:rPr>
                <w:b/>
                <w:bCs/>
                <w:color w:val="FF0000"/>
                <w:sz w:val="18"/>
                <w:szCs w:val="18"/>
                <w:u w:val="single"/>
              </w:rPr>
              <w:t>On-site waste rate</w:t>
            </w:r>
          </w:p>
        </w:tc>
      </w:tr>
      <w:tr w:rsidR="00860E10" w:rsidRPr="006D00C9" w14:paraId="267DA723" w14:textId="77777777" w:rsidTr="005A388F">
        <w:tc>
          <w:tcPr>
            <w:tcW w:w="6385" w:type="dxa"/>
          </w:tcPr>
          <w:p w14:paraId="1962EA23" w14:textId="77777777" w:rsidR="00860E10" w:rsidRPr="00860E10" w:rsidRDefault="00860E10" w:rsidP="005A388F">
            <w:pPr>
              <w:rPr>
                <w:color w:val="FF0000"/>
                <w:sz w:val="18"/>
                <w:szCs w:val="18"/>
                <w:u w:val="single"/>
              </w:rPr>
            </w:pPr>
            <w:r w:rsidRPr="00860E10">
              <w:rPr>
                <w:color w:val="FF0000"/>
                <w:sz w:val="18"/>
                <w:szCs w:val="18"/>
                <w:u w:val="single"/>
              </w:rPr>
              <w:t xml:space="preserve">Prefabricated assemblies: standardized assemblies and small MEP equipment (400 </w:t>
            </w:r>
            <w:proofErr w:type="spellStart"/>
            <w:r w:rsidRPr="00860E10">
              <w:rPr>
                <w:color w:val="FF0000"/>
                <w:sz w:val="18"/>
                <w:szCs w:val="18"/>
                <w:u w:val="single"/>
              </w:rPr>
              <w:t>lbs</w:t>
            </w:r>
            <w:proofErr w:type="spellEnd"/>
            <w:r w:rsidRPr="00860E10">
              <w:rPr>
                <w:color w:val="FF0000"/>
                <w:sz w:val="18"/>
                <w:szCs w:val="18"/>
                <w:u w:val="single"/>
              </w:rPr>
              <w:t xml:space="preserve"> or less</w:t>
            </w:r>
            <w:proofErr w:type="gramStart"/>
            <w:r w:rsidRPr="00860E10">
              <w:rPr>
                <w:color w:val="FF0000"/>
                <w:sz w:val="18"/>
                <w:szCs w:val="18"/>
                <w:u w:val="single"/>
              </w:rPr>
              <w:t>).</w:t>
            </w:r>
            <w:r w:rsidRPr="00860E10">
              <w:rPr>
                <w:color w:val="FF0000"/>
                <w:sz w:val="18"/>
                <w:szCs w:val="18"/>
                <w:u w:val="single"/>
                <w:vertAlign w:val="superscript"/>
              </w:rPr>
              <w:t>(</w:t>
            </w:r>
            <w:proofErr w:type="gramEnd"/>
            <w:r w:rsidRPr="00860E10">
              <w:rPr>
                <w:color w:val="FF0000"/>
                <w:sz w:val="18"/>
                <w:szCs w:val="18"/>
                <w:u w:val="single"/>
                <w:vertAlign w:val="superscript"/>
              </w:rPr>
              <w:t>a) (b)</w:t>
            </w:r>
          </w:p>
        </w:tc>
        <w:tc>
          <w:tcPr>
            <w:tcW w:w="2965" w:type="dxa"/>
            <w:vAlign w:val="center"/>
          </w:tcPr>
          <w:p w14:paraId="02BCF7DE" w14:textId="77777777" w:rsidR="00860E10" w:rsidRPr="006D00C9" w:rsidRDefault="00860E10" w:rsidP="005A388F">
            <w:pPr>
              <w:jc w:val="center"/>
              <w:rPr>
                <w:color w:val="FF0000"/>
                <w:sz w:val="18"/>
                <w:szCs w:val="18"/>
                <w:u w:val="single"/>
              </w:rPr>
            </w:pPr>
            <w:r w:rsidRPr="006D00C9">
              <w:rPr>
                <w:color w:val="FF0000"/>
                <w:sz w:val="18"/>
                <w:szCs w:val="18"/>
                <w:u w:val="single"/>
              </w:rPr>
              <w:t>1%</w:t>
            </w:r>
          </w:p>
        </w:tc>
      </w:tr>
      <w:tr w:rsidR="00860E10" w:rsidRPr="006D00C9" w14:paraId="61B31314" w14:textId="77777777" w:rsidTr="005A388F">
        <w:tc>
          <w:tcPr>
            <w:tcW w:w="6385" w:type="dxa"/>
          </w:tcPr>
          <w:p w14:paraId="3D81B8FE" w14:textId="77777777" w:rsidR="00860E10" w:rsidRPr="00860E10" w:rsidRDefault="00860E10" w:rsidP="005A388F">
            <w:pPr>
              <w:rPr>
                <w:color w:val="FF0000"/>
                <w:sz w:val="18"/>
                <w:szCs w:val="18"/>
                <w:u w:val="single"/>
              </w:rPr>
            </w:pPr>
            <w:r w:rsidRPr="00860E10">
              <w:rPr>
                <w:color w:val="FF0000"/>
                <w:sz w:val="18"/>
                <w:szCs w:val="18"/>
                <w:u w:val="single"/>
              </w:rPr>
              <w:t xml:space="preserve">Prefabricated assemblies: custom assemblies made to order and large MEP equipment (more than 400 </w:t>
            </w:r>
            <w:proofErr w:type="spellStart"/>
            <w:r w:rsidRPr="00860E10">
              <w:rPr>
                <w:color w:val="FF0000"/>
                <w:sz w:val="18"/>
                <w:szCs w:val="18"/>
                <w:u w:val="single"/>
              </w:rPr>
              <w:t>lbs</w:t>
            </w:r>
            <w:proofErr w:type="spellEnd"/>
            <w:r w:rsidRPr="00860E10">
              <w:rPr>
                <w:color w:val="FF0000"/>
                <w:sz w:val="18"/>
                <w:szCs w:val="18"/>
                <w:u w:val="single"/>
              </w:rPr>
              <w:t xml:space="preserve">). </w:t>
            </w:r>
            <w:r w:rsidRPr="00860E10">
              <w:rPr>
                <w:color w:val="FF0000"/>
                <w:sz w:val="18"/>
                <w:szCs w:val="18"/>
                <w:u w:val="single"/>
                <w:vertAlign w:val="superscript"/>
              </w:rPr>
              <w:t>(a) (c)</w:t>
            </w:r>
          </w:p>
        </w:tc>
        <w:tc>
          <w:tcPr>
            <w:tcW w:w="2965" w:type="dxa"/>
            <w:vAlign w:val="center"/>
          </w:tcPr>
          <w:p w14:paraId="34A2B97F" w14:textId="77777777" w:rsidR="00860E10" w:rsidRPr="006D00C9" w:rsidRDefault="00860E10" w:rsidP="005A388F">
            <w:pPr>
              <w:jc w:val="center"/>
              <w:rPr>
                <w:color w:val="FF0000"/>
                <w:sz w:val="18"/>
                <w:szCs w:val="18"/>
                <w:u w:val="single"/>
              </w:rPr>
            </w:pPr>
            <w:r w:rsidRPr="006D00C9">
              <w:rPr>
                <w:color w:val="FF0000"/>
                <w:sz w:val="18"/>
                <w:szCs w:val="18"/>
                <w:u w:val="single"/>
              </w:rPr>
              <w:t>0%</w:t>
            </w:r>
          </w:p>
        </w:tc>
      </w:tr>
      <w:tr w:rsidR="00860E10" w:rsidRPr="006D00C9" w14:paraId="252DB3F1" w14:textId="77777777" w:rsidTr="005A388F">
        <w:tc>
          <w:tcPr>
            <w:tcW w:w="6385" w:type="dxa"/>
          </w:tcPr>
          <w:p w14:paraId="2DEFCD38" w14:textId="77777777" w:rsidR="00860E10" w:rsidRPr="00860E10" w:rsidRDefault="00860E10" w:rsidP="005A388F">
            <w:pPr>
              <w:rPr>
                <w:color w:val="FF0000"/>
                <w:sz w:val="18"/>
                <w:szCs w:val="18"/>
                <w:u w:val="single"/>
              </w:rPr>
            </w:pPr>
            <w:r w:rsidRPr="00860E10">
              <w:rPr>
                <w:color w:val="FF0000"/>
                <w:sz w:val="18"/>
                <w:szCs w:val="18"/>
                <w:u w:val="single"/>
              </w:rPr>
              <w:t>Ready-mix concrete delivered by a concrete mixer truck and poured in place</w:t>
            </w:r>
          </w:p>
        </w:tc>
        <w:tc>
          <w:tcPr>
            <w:tcW w:w="2965" w:type="dxa"/>
            <w:vAlign w:val="center"/>
          </w:tcPr>
          <w:p w14:paraId="63A0A6D9" w14:textId="77777777" w:rsidR="00860E10" w:rsidRPr="006D00C9" w:rsidRDefault="00860E10" w:rsidP="005A388F">
            <w:pPr>
              <w:jc w:val="center"/>
              <w:rPr>
                <w:color w:val="FF0000"/>
                <w:sz w:val="18"/>
                <w:szCs w:val="18"/>
                <w:u w:val="single"/>
              </w:rPr>
            </w:pPr>
            <w:r w:rsidRPr="006D00C9">
              <w:rPr>
                <w:color w:val="FF0000"/>
                <w:sz w:val="18"/>
                <w:szCs w:val="18"/>
                <w:u w:val="single"/>
              </w:rPr>
              <w:t>5%</w:t>
            </w:r>
          </w:p>
        </w:tc>
      </w:tr>
      <w:tr w:rsidR="00860E10" w:rsidRPr="006D00C9" w14:paraId="60A65EA0" w14:textId="77777777" w:rsidTr="005A388F">
        <w:tc>
          <w:tcPr>
            <w:tcW w:w="6385" w:type="dxa"/>
          </w:tcPr>
          <w:p w14:paraId="655CE79C" w14:textId="77777777" w:rsidR="00860E10" w:rsidRPr="00860E10" w:rsidRDefault="00860E10" w:rsidP="005A388F">
            <w:pPr>
              <w:rPr>
                <w:color w:val="FF0000"/>
                <w:sz w:val="18"/>
                <w:szCs w:val="18"/>
                <w:u w:val="single"/>
              </w:rPr>
            </w:pPr>
            <w:r w:rsidRPr="00860E10">
              <w:rPr>
                <w:color w:val="FF0000"/>
                <w:sz w:val="18"/>
                <w:szCs w:val="18"/>
                <w:u w:val="single"/>
              </w:rPr>
              <w:t>Sprayed cementitious material (shotcrete, sprayed fire resistive material)</w:t>
            </w:r>
          </w:p>
        </w:tc>
        <w:tc>
          <w:tcPr>
            <w:tcW w:w="2965" w:type="dxa"/>
            <w:vAlign w:val="center"/>
          </w:tcPr>
          <w:p w14:paraId="382E3B51" w14:textId="77777777" w:rsidR="00860E10" w:rsidRPr="006D00C9" w:rsidRDefault="00860E10" w:rsidP="005A388F">
            <w:pPr>
              <w:jc w:val="center"/>
              <w:rPr>
                <w:color w:val="FF0000"/>
                <w:sz w:val="18"/>
                <w:szCs w:val="18"/>
                <w:u w:val="single"/>
              </w:rPr>
            </w:pPr>
            <w:r w:rsidRPr="006D00C9">
              <w:rPr>
                <w:color w:val="FF0000"/>
                <w:sz w:val="18"/>
                <w:szCs w:val="18"/>
                <w:u w:val="single"/>
              </w:rPr>
              <w:t>10%</w:t>
            </w:r>
          </w:p>
        </w:tc>
      </w:tr>
      <w:tr w:rsidR="00860E10" w:rsidRPr="006D00C9" w14:paraId="51CD7406" w14:textId="77777777" w:rsidTr="005A388F">
        <w:tc>
          <w:tcPr>
            <w:tcW w:w="6385" w:type="dxa"/>
          </w:tcPr>
          <w:p w14:paraId="698915E9" w14:textId="77777777" w:rsidR="00860E10" w:rsidRPr="00860E10" w:rsidRDefault="00860E10" w:rsidP="005A388F">
            <w:pPr>
              <w:rPr>
                <w:color w:val="FF0000"/>
                <w:sz w:val="18"/>
                <w:szCs w:val="18"/>
                <w:u w:val="single"/>
              </w:rPr>
            </w:pPr>
            <w:r w:rsidRPr="00860E10">
              <w:rPr>
                <w:color w:val="FF0000"/>
                <w:sz w:val="18"/>
                <w:szCs w:val="18"/>
                <w:u w:val="single"/>
              </w:rPr>
              <w:t>Piles: steel piles or casting</w:t>
            </w:r>
          </w:p>
        </w:tc>
        <w:tc>
          <w:tcPr>
            <w:tcW w:w="2965" w:type="dxa"/>
            <w:vAlign w:val="center"/>
          </w:tcPr>
          <w:p w14:paraId="4B1A7A2A" w14:textId="77777777" w:rsidR="00860E10" w:rsidRPr="006D00C9" w:rsidRDefault="00860E10" w:rsidP="005A388F">
            <w:pPr>
              <w:jc w:val="center"/>
              <w:rPr>
                <w:color w:val="FF0000"/>
                <w:sz w:val="18"/>
                <w:szCs w:val="18"/>
                <w:u w:val="single"/>
              </w:rPr>
            </w:pPr>
            <w:r w:rsidRPr="006D00C9">
              <w:rPr>
                <w:color w:val="FF0000"/>
                <w:sz w:val="18"/>
                <w:szCs w:val="18"/>
                <w:u w:val="single"/>
              </w:rPr>
              <w:t>3%</w:t>
            </w:r>
          </w:p>
        </w:tc>
      </w:tr>
      <w:tr w:rsidR="00860E10" w:rsidRPr="006D00C9" w14:paraId="429E3EC6" w14:textId="77777777" w:rsidTr="005A388F">
        <w:tc>
          <w:tcPr>
            <w:tcW w:w="6385" w:type="dxa"/>
          </w:tcPr>
          <w:p w14:paraId="51E8F10E" w14:textId="77777777" w:rsidR="00860E10" w:rsidRPr="00860E10" w:rsidRDefault="00860E10" w:rsidP="005A388F">
            <w:pPr>
              <w:rPr>
                <w:color w:val="FF0000"/>
                <w:sz w:val="18"/>
                <w:szCs w:val="18"/>
                <w:u w:val="single"/>
              </w:rPr>
            </w:pPr>
            <w:r w:rsidRPr="00860E10">
              <w:rPr>
                <w:color w:val="FF0000"/>
                <w:sz w:val="18"/>
                <w:szCs w:val="18"/>
                <w:u w:val="single"/>
              </w:rPr>
              <w:t>Troweled material (mortar, skim coating)</w:t>
            </w:r>
          </w:p>
        </w:tc>
        <w:tc>
          <w:tcPr>
            <w:tcW w:w="2965" w:type="dxa"/>
            <w:vAlign w:val="center"/>
          </w:tcPr>
          <w:p w14:paraId="70748EFC" w14:textId="77777777" w:rsidR="00860E10" w:rsidRPr="006D00C9" w:rsidRDefault="00860E10" w:rsidP="005A388F">
            <w:pPr>
              <w:jc w:val="center"/>
              <w:rPr>
                <w:color w:val="FF0000"/>
                <w:sz w:val="18"/>
                <w:szCs w:val="18"/>
                <w:u w:val="single"/>
              </w:rPr>
            </w:pPr>
            <w:r w:rsidRPr="006D00C9">
              <w:rPr>
                <w:color w:val="FF0000"/>
                <w:sz w:val="18"/>
                <w:szCs w:val="18"/>
                <w:u w:val="single"/>
              </w:rPr>
              <w:t>15%</w:t>
            </w:r>
          </w:p>
        </w:tc>
      </w:tr>
      <w:tr w:rsidR="00860E10" w:rsidRPr="006D00C9" w14:paraId="1D989D3F" w14:textId="77777777" w:rsidTr="005A388F">
        <w:tc>
          <w:tcPr>
            <w:tcW w:w="6385" w:type="dxa"/>
          </w:tcPr>
          <w:p w14:paraId="4BDB1B0E" w14:textId="77777777" w:rsidR="00860E10" w:rsidRPr="00860E10" w:rsidRDefault="00860E10" w:rsidP="005A388F">
            <w:pPr>
              <w:rPr>
                <w:color w:val="FF0000"/>
                <w:sz w:val="18"/>
                <w:szCs w:val="18"/>
                <w:u w:val="single"/>
              </w:rPr>
            </w:pPr>
            <w:r w:rsidRPr="00860E10">
              <w:rPr>
                <w:color w:val="FF0000"/>
                <w:sz w:val="18"/>
                <w:szCs w:val="18"/>
                <w:u w:val="single"/>
              </w:rPr>
              <w:t>Liquid applied material (paint, self-leveling concrete topping, roof membranes)</w:t>
            </w:r>
          </w:p>
        </w:tc>
        <w:tc>
          <w:tcPr>
            <w:tcW w:w="2965" w:type="dxa"/>
            <w:vAlign w:val="center"/>
          </w:tcPr>
          <w:p w14:paraId="2FA9BBDB" w14:textId="77777777" w:rsidR="00860E10" w:rsidRPr="006D00C9" w:rsidRDefault="00860E10" w:rsidP="005A388F">
            <w:pPr>
              <w:jc w:val="center"/>
              <w:rPr>
                <w:color w:val="FF0000"/>
                <w:sz w:val="18"/>
                <w:szCs w:val="18"/>
                <w:u w:val="single"/>
              </w:rPr>
            </w:pPr>
            <w:r w:rsidRPr="006D00C9">
              <w:rPr>
                <w:color w:val="FF0000"/>
                <w:sz w:val="18"/>
                <w:szCs w:val="18"/>
                <w:u w:val="single"/>
              </w:rPr>
              <w:t>10%</w:t>
            </w:r>
          </w:p>
        </w:tc>
      </w:tr>
      <w:tr w:rsidR="00860E10" w:rsidRPr="006D00C9" w14:paraId="2A2DD74D" w14:textId="77777777" w:rsidTr="005A388F">
        <w:tc>
          <w:tcPr>
            <w:tcW w:w="6385" w:type="dxa"/>
          </w:tcPr>
          <w:p w14:paraId="02D547D1" w14:textId="77777777" w:rsidR="00860E10" w:rsidRPr="00860E10" w:rsidRDefault="00860E10" w:rsidP="005A388F">
            <w:pPr>
              <w:rPr>
                <w:color w:val="FF0000"/>
                <w:sz w:val="18"/>
                <w:szCs w:val="18"/>
                <w:u w:val="single"/>
              </w:rPr>
            </w:pPr>
            <w:r w:rsidRPr="00860E10">
              <w:rPr>
                <w:color w:val="FF0000"/>
                <w:sz w:val="18"/>
                <w:szCs w:val="18"/>
                <w:u w:val="single"/>
              </w:rPr>
              <w:t>Blocks and bricks</w:t>
            </w:r>
          </w:p>
        </w:tc>
        <w:tc>
          <w:tcPr>
            <w:tcW w:w="2965" w:type="dxa"/>
            <w:vAlign w:val="center"/>
          </w:tcPr>
          <w:p w14:paraId="4B30CCCE" w14:textId="77777777" w:rsidR="00860E10" w:rsidRPr="006D00C9" w:rsidRDefault="00860E10" w:rsidP="005A388F">
            <w:pPr>
              <w:jc w:val="center"/>
              <w:rPr>
                <w:color w:val="FF0000"/>
                <w:sz w:val="18"/>
                <w:szCs w:val="18"/>
                <w:u w:val="single"/>
              </w:rPr>
            </w:pPr>
            <w:r w:rsidRPr="006D00C9">
              <w:rPr>
                <w:color w:val="FF0000"/>
                <w:sz w:val="18"/>
                <w:szCs w:val="18"/>
                <w:u w:val="single"/>
              </w:rPr>
              <w:t>5%</w:t>
            </w:r>
          </w:p>
        </w:tc>
      </w:tr>
      <w:tr w:rsidR="00860E10" w:rsidRPr="006D00C9" w14:paraId="0FB07E83" w14:textId="77777777" w:rsidTr="005A388F">
        <w:tc>
          <w:tcPr>
            <w:tcW w:w="6385" w:type="dxa"/>
          </w:tcPr>
          <w:p w14:paraId="3BA974FF" w14:textId="77777777" w:rsidR="00860E10" w:rsidRPr="00860E10" w:rsidRDefault="00860E10" w:rsidP="005A388F">
            <w:pPr>
              <w:rPr>
                <w:color w:val="FF0000"/>
                <w:sz w:val="18"/>
                <w:szCs w:val="18"/>
                <w:u w:val="single"/>
              </w:rPr>
            </w:pPr>
            <w:r w:rsidRPr="00860E10">
              <w:rPr>
                <w:color w:val="FF0000"/>
                <w:sz w:val="18"/>
                <w:szCs w:val="18"/>
                <w:u w:val="single"/>
              </w:rPr>
              <w:t>Tiles, siding, and carpet flooring</w:t>
            </w:r>
          </w:p>
        </w:tc>
        <w:tc>
          <w:tcPr>
            <w:tcW w:w="2965" w:type="dxa"/>
            <w:vAlign w:val="center"/>
          </w:tcPr>
          <w:p w14:paraId="6EFA342C" w14:textId="77777777" w:rsidR="00860E10" w:rsidRPr="006D00C9" w:rsidRDefault="00860E10" w:rsidP="005A388F">
            <w:pPr>
              <w:jc w:val="center"/>
              <w:rPr>
                <w:color w:val="FF0000"/>
                <w:sz w:val="18"/>
                <w:szCs w:val="18"/>
                <w:u w:val="single"/>
              </w:rPr>
            </w:pPr>
            <w:r w:rsidRPr="006D00C9">
              <w:rPr>
                <w:color w:val="FF0000"/>
                <w:sz w:val="18"/>
                <w:szCs w:val="18"/>
                <w:u w:val="single"/>
              </w:rPr>
              <w:t>8%</w:t>
            </w:r>
          </w:p>
        </w:tc>
      </w:tr>
      <w:tr w:rsidR="00860E10" w:rsidRPr="006D00C9" w14:paraId="0772DED4" w14:textId="77777777" w:rsidTr="005A388F">
        <w:tc>
          <w:tcPr>
            <w:tcW w:w="6385" w:type="dxa"/>
          </w:tcPr>
          <w:p w14:paraId="00F22B1B" w14:textId="77777777" w:rsidR="00860E10" w:rsidRPr="00860E10" w:rsidRDefault="00860E10" w:rsidP="005A388F">
            <w:pPr>
              <w:rPr>
                <w:color w:val="FF0000"/>
                <w:sz w:val="18"/>
                <w:szCs w:val="18"/>
                <w:u w:val="single"/>
              </w:rPr>
            </w:pPr>
            <w:r w:rsidRPr="00860E10">
              <w:rPr>
                <w:color w:val="FF0000"/>
                <w:sz w:val="18"/>
                <w:szCs w:val="18"/>
                <w:u w:val="single"/>
              </w:rPr>
              <w:t xml:space="preserve">Standard sheets, boards, or panels cut-to-size on site as needed: metal (steel decking, roofing, flashing, welded wire fabric) </w:t>
            </w:r>
            <w:r w:rsidRPr="00860E10">
              <w:rPr>
                <w:color w:val="FF0000"/>
                <w:sz w:val="18"/>
                <w:szCs w:val="18"/>
                <w:u w:val="single"/>
                <w:vertAlign w:val="superscript"/>
              </w:rPr>
              <w:t>(d)</w:t>
            </w:r>
          </w:p>
        </w:tc>
        <w:tc>
          <w:tcPr>
            <w:tcW w:w="2965" w:type="dxa"/>
            <w:vAlign w:val="center"/>
          </w:tcPr>
          <w:p w14:paraId="656C512C" w14:textId="77777777" w:rsidR="00860E10" w:rsidRPr="006D00C9" w:rsidRDefault="00860E10" w:rsidP="005A388F">
            <w:pPr>
              <w:jc w:val="center"/>
              <w:rPr>
                <w:color w:val="FF0000"/>
                <w:sz w:val="18"/>
                <w:szCs w:val="18"/>
                <w:u w:val="single"/>
              </w:rPr>
            </w:pPr>
            <w:r w:rsidRPr="006D00C9">
              <w:rPr>
                <w:color w:val="FF0000"/>
                <w:sz w:val="18"/>
                <w:szCs w:val="18"/>
                <w:u w:val="single"/>
              </w:rPr>
              <w:t>10%</w:t>
            </w:r>
          </w:p>
        </w:tc>
      </w:tr>
      <w:tr w:rsidR="00860E10" w:rsidRPr="006D00C9" w14:paraId="2D7EB6FF" w14:textId="77777777" w:rsidTr="005A388F">
        <w:tc>
          <w:tcPr>
            <w:tcW w:w="6385" w:type="dxa"/>
          </w:tcPr>
          <w:p w14:paraId="5CDB21C9" w14:textId="77777777" w:rsidR="00860E10" w:rsidRPr="00860E10" w:rsidRDefault="00860E10" w:rsidP="005A388F">
            <w:pPr>
              <w:rPr>
                <w:color w:val="FF0000"/>
                <w:sz w:val="18"/>
                <w:szCs w:val="18"/>
                <w:u w:val="single"/>
                <w:vertAlign w:val="superscript"/>
              </w:rPr>
            </w:pPr>
            <w:r w:rsidRPr="00860E10">
              <w:rPr>
                <w:color w:val="FF0000"/>
                <w:sz w:val="18"/>
                <w:szCs w:val="18"/>
                <w:u w:val="single"/>
              </w:rPr>
              <w:t xml:space="preserve">Standard sheets, boards, or panels cut-to-size on site as needed: non-metal (gypsum, plywood) </w:t>
            </w:r>
            <w:r w:rsidRPr="00860E10">
              <w:rPr>
                <w:color w:val="FF0000"/>
                <w:sz w:val="18"/>
                <w:szCs w:val="18"/>
                <w:u w:val="single"/>
                <w:vertAlign w:val="superscript"/>
              </w:rPr>
              <w:t>(d)</w:t>
            </w:r>
          </w:p>
        </w:tc>
        <w:tc>
          <w:tcPr>
            <w:tcW w:w="2965" w:type="dxa"/>
            <w:vAlign w:val="center"/>
          </w:tcPr>
          <w:p w14:paraId="5DAC13C1" w14:textId="77777777" w:rsidR="00860E10" w:rsidRPr="00771A6F" w:rsidRDefault="00860E10" w:rsidP="005A388F">
            <w:pPr>
              <w:jc w:val="center"/>
              <w:rPr>
                <w:color w:val="FF0000"/>
                <w:sz w:val="18"/>
                <w:szCs w:val="18"/>
                <w:u w:val="single"/>
              </w:rPr>
            </w:pPr>
            <w:r w:rsidRPr="00771A6F">
              <w:rPr>
                <w:color w:val="FF0000"/>
                <w:sz w:val="18"/>
                <w:szCs w:val="18"/>
                <w:u w:val="single"/>
              </w:rPr>
              <w:t>15%</w:t>
            </w:r>
          </w:p>
        </w:tc>
      </w:tr>
      <w:tr w:rsidR="00860E10" w:rsidRPr="006D00C9" w14:paraId="67D3379C" w14:textId="77777777" w:rsidTr="005A388F">
        <w:tc>
          <w:tcPr>
            <w:tcW w:w="6385" w:type="dxa"/>
          </w:tcPr>
          <w:p w14:paraId="713F0CFB" w14:textId="77777777" w:rsidR="00860E10" w:rsidRPr="00771A6F" w:rsidRDefault="00860E10" w:rsidP="005A388F">
            <w:pPr>
              <w:rPr>
                <w:color w:val="FF0000"/>
                <w:sz w:val="18"/>
                <w:szCs w:val="18"/>
                <w:highlight w:val="yellow"/>
                <w:u w:val="single"/>
              </w:rPr>
            </w:pPr>
            <w:r w:rsidRPr="00771A6F">
              <w:rPr>
                <w:color w:val="FF0000"/>
                <w:sz w:val="18"/>
                <w:szCs w:val="18"/>
                <w:highlight w:val="yellow"/>
                <w:u w:val="single"/>
              </w:rPr>
              <w:t>Insulation materials</w:t>
            </w:r>
            <w:r>
              <w:rPr>
                <w:color w:val="FF0000"/>
                <w:sz w:val="18"/>
                <w:szCs w:val="18"/>
                <w:highlight w:val="yellow"/>
                <w:u w:val="single"/>
              </w:rPr>
              <w:t xml:space="preserve"> (all types)</w:t>
            </w:r>
          </w:p>
        </w:tc>
        <w:tc>
          <w:tcPr>
            <w:tcW w:w="2965" w:type="dxa"/>
            <w:vAlign w:val="center"/>
          </w:tcPr>
          <w:p w14:paraId="1AE1E9CE" w14:textId="77777777" w:rsidR="00860E10" w:rsidRPr="00771A6F" w:rsidRDefault="00860E10" w:rsidP="005A388F">
            <w:pPr>
              <w:jc w:val="center"/>
              <w:rPr>
                <w:color w:val="FF0000"/>
                <w:sz w:val="18"/>
                <w:szCs w:val="18"/>
                <w:highlight w:val="yellow"/>
                <w:u w:val="single"/>
              </w:rPr>
            </w:pPr>
            <w:r w:rsidRPr="00771A6F">
              <w:rPr>
                <w:color w:val="FF0000"/>
                <w:sz w:val="18"/>
                <w:szCs w:val="18"/>
                <w:highlight w:val="yellow"/>
                <w:u w:val="single"/>
              </w:rPr>
              <w:t>8%</w:t>
            </w:r>
          </w:p>
        </w:tc>
      </w:tr>
      <w:tr w:rsidR="00860E10" w:rsidRPr="006D00C9" w14:paraId="44A510F9" w14:textId="77777777" w:rsidTr="005A388F">
        <w:tc>
          <w:tcPr>
            <w:tcW w:w="6385" w:type="dxa"/>
          </w:tcPr>
          <w:p w14:paraId="2D094938" w14:textId="77777777" w:rsidR="00860E10" w:rsidRPr="006D00C9" w:rsidRDefault="00860E10" w:rsidP="005A388F">
            <w:pPr>
              <w:rPr>
                <w:color w:val="FF0000"/>
                <w:sz w:val="18"/>
                <w:szCs w:val="18"/>
                <w:u w:val="single"/>
              </w:rPr>
            </w:pPr>
            <w:r w:rsidRPr="006D00C9">
              <w:rPr>
                <w:color w:val="FF0000"/>
                <w:sz w:val="18"/>
                <w:szCs w:val="18"/>
                <w:u w:val="single"/>
              </w:rPr>
              <w:t>General standard-length elements and trimmed as needed on site to required length (metal studs, light-weight timber framing, plumbing pipes)</w:t>
            </w:r>
          </w:p>
        </w:tc>
        <w:tc>
          <w:tcPr>
            <w:tcW w:w="2965" w:type="dxa"/>
            <w:vAlign w:val="center"/>
          </w:tcPr>
          <w:p w14:paraId="584AB23F" w14:textId="77777777" w:rsidR="00860E10" w:rsidRPr="006D00C9" w:rsidRDefault="00860E10" w:rsidP="005A388F">
            <w:pPr>
              <w:jc w:val="center"/>
              <w:rPr>
                <w:color w:val="FF0000"/>
                <w:sz w:val="18"/>
                <w:szCs w:val="18"/>
                <w:u w:val="single"/>
              </w:rPr>
            </w:pPr>
            <w:r w:rsidRPr="006D00C9">
              <w:rPr>
                <w:color w:val="FF0000"/>
                <w:sz w:val="18"/>
                <w:szCs w:val="18"/>
                <w:u w:val="single"/>
              </w:rPr>
              <w:t>10%</w:t>
            </w:r>
          </w:p>
        </w:tc>
      </w:tr>
      <w:tr w:rsidR="00860E10" w:rsidRPr="006D00C9" w14:paraId="55476FAD" w14:textId="77777777" w:rsidTr="005A388F">
        <w:tc>
          <w:tcPr>
            <w:tcW w:w="6385" w:type="dxa"/>
          </w:tcPr>
          <w:p w14:paraId="0B89047D" w14:textId="77777777" w:rsidR="00860E10" w:rsidRPr="006D00C9" w:rsidRDefault="00860E10" w:rsidP="005A388F">
            <w:pPr>
              <w:rPr>
                <w:color w:val="FF0000"/>
                <w:sz w:val="18"/>
                <w:szCs w:val="18"/>
                <w:u w:val="single"/>
              </w:rPr>
            </w:pPr>
            <w:r w:rsidRPr="006D00C9">
              <w:rPr>
                <w:color w:val="FF0000"/>
                <w:sz w:val="18"/>
                <w:szCs w:val="18"/>
                <w:u w:val="single"/>
              </w:rPr>
              <w:t>Steel rebar</w:t>
            </w:r>
          </w:p>
        </w:tc>
        <w:tc>
          <w:tcPr>
            <w:tcW w:w="2965" w:type="dxa"/>
            <w:vAlign w:val="center"/>
          </w:tcPr>
          <w:p w14:paraId="227DF5B2" w14:textId="77777777" w:rsidR="00860E10" w:rsidRPr="006D00C9" w:rsidRDefault="00860E10" w:rsidP="005A388F">
            <w:pPr>
              <w:jc w:val="center"/>
              <w:rPr>
                <w:color w:val="FF0000"/>
                <w:sz w:val="18"/>
                <w:szCs w:val="18"/>
                <w:u w:val="single"/>
              </w:rPr>
            </w:pPr>
            <w:r w:rsidRPr="006D00C9">
              <w:rPr>
                <w:color w:val="FF0000"/>
                <w:sz w:val="18"/>
                <w:szCs w:val="18"/>
                <w:u w:val="single"/>
              </w:rPr>
              <w:t>3%</w:t>
            </w:r>
          </w:p>
        </w:tc>
      </w:tr>
      <w:tr w:rsidR="00860E10" w:rsidRPr="006D00C9" w14:paraId="04F708A5" w14:textId="77777777" w:rsidTr="005A388F">
        <w:tc>
          <w:tcPr>
            <w:tcW w:w="6385" w:type="dxa"/>
          </w:tcPr>
          <w:p w14:paraId="30941AA9" w14:textId="77777777" w:rsidR="00860E10" w:rsidRPr="006D00C9" w:rsidRDefault="00860E10" w:rsidP="005A388F">
            <w:pPr>
              <w:rPr>
                <w:color w:val="FF0000"/>
                <w:sz w:val="18"/>
                <w:szCs w:val="18"/>
                <w:u w:val="single"/>
              </w:rPr>
            </w:pPr>
            <w:r w:rsidRPr="006D00C9">
              <w:rPr>
                <w:color w:val="FF0000"/>
                <w:sz w:val="18"/>
                <w:szCs w:val="18"/>
                <w:u w:val="single"/>
              </w:rPr>
              <w:t>Default waste rate for all other elements not listed in this table</w:t>
            </w:r>
          </w:p>
        </w:tc>
        <w:tc>
          <w:tcPr>
            <w:tcW w:w="2965" w:type="dxa"/>
            <w:vAlign w:val="center"/>
          </w:tcPr>
          <w:p w14:paraId="3CCFA4EE" w14:textId="77777777" w:rsidR="00860E10" w:rsidRPr="006D00C9" w:rsidRDefault="00860E10" w:rsidP="005A388F">
            <w:pPr>
              <w:jc w:val="center"/>
              <w:rPr>
                <w:color w:val="FF0000"/>
                <w:sz w:val="18"/>
                <w:szCs w:val="18"/>
                <w:u w:val="single"/>
              </w:rPr>
            </w:pPr>
            <w:r w:rsidRPr="006D00C9">
              <w:rPr>
                <w:color w:val="FF0000"/>
                <w:sz w:val="18"/>
                <w:szCs w:val="18"/>
                <w:u w:val="single"/>
              </w:rPr>
              <w:t>5%</w:t>
            </w:r>
          </w:p>
        </w:tc>
      </w:tr>
    </w:tbl>
    <w:p w14:paraId="14134EAD" w14:textId="77777777" w:rsidR="00860E10" w:rsidRDefault="00860E10" w:rsidP="00860E10">
      <w:pPr>
        <w:rPr>
          <w:color w:val="FF0000"/>
          <w:u w:val="single"/>
        </w:rPr>
      </w:pPr>
    </w:p>
    <w:p w14:paraId="05E56BCC" w14:textId="737F8F22" w:rsidR="000D5D5B" w:rsidRDefault="000D5D5B" w:rsidP="00860E10">
      <w:pPr>
        <w:rPr>
          <w:color w:val="FF0000"/>
          <w:u w:val="single"/>
        </w:rPr>
      </w:pPr>
      <w:r>
        <w:rPr>
          <w:color w:val="FF0000"/>
          <w:u w:val="single"/>
        </w:rPr>
        <w:t>…</w:t>
      </w:r>
    </w:p>
    <w:p w14:paraId="1632CCB6" w14:textId="77777777" w:rsidR="000D5D5B" w:rsidRPr="006D00C9" w:rsidRDefault="000D5D5B" w:rsidP="000D5D5B">
      <w:pPr>
        <w:pStyle w:val="Caption"/>
        <w:keepNext/>
        <w:rPr>
          <w:color w:val="FF0000"/>
          <w:u w:val="single"/>
        </w:rPr>
      </w:pPr>
      <w:bookmarkStart w:id="1" w:name="_Ref170134621"/>
      <w:r w:rsidRPr="006D00C9">
        <w:rPr>
          <w:color w:val="FF0000"/>
          <w:u w:val="single"/>
        </w:rPr>
        <w:lastRenderedPageBreak/>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10.3</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bookmarkEnd w:id="1"/>
      <w:r w:rsidRPr="006D00C9">
        <w:rPr>
          <w:color w:val="FF0000"/>
          <w:u w:val="single"/>
        </w:rPr>
        <w:t xml:space="preserve"> Verification Requirements for Confirmed Assessments</w:t>
      </w:r>
    </w:p>
    <w:tbl>
      <w:tblPr>
        <w:tblStyle w:val="TableGrid"/>
        <w:tblW w:w="9337" w:type="dxa"/>
        <w:tblLayout w:type="fixed"/>
        <w:tblLook w:val="06A0" w:firstRow="1" w:lastRow="0" w:firstColumn="1" w:lastColumn="0" w:noHBand="1" w:noVBand="1"/>
      </w:tblPr>
      <w:tblGrid>
        <w:gridCol w:w="1268"/>
        <w:gridCol w:w="4823"/>
        <w:gridCol w:w="3246"/>
      </w:tblGrid>
      <w:tr w:rsidR="000D5D5B" w:rsidRPr="006D00C9" w14:paraId="7E7E3FE0" w14:textId="77777777" w:rsidTr="005A388F">
        <w:trPr>
          <w:trHeight w:val="300"/>
        </w:trPr>
        <w:tc>
          <w:tcPr>
            <w:tcW w:w="1268" w:type="dxa"/>
          </w:tcPr>
          <w:p w14:paraId="0B0EF3CE" w14:textId="77777777" w:rsidR="000D5D5B" w:rsidRPr="006D00C9" w:rsidRDefault="000D5D5B" w:rsidP="005A388F">
            <w:pPr>
              <w:rPr>
                <w:color w:val="FF0000"/>
                <w:sz w:val="18"/>
                <w:szCs w:val="18"/>
                <w:u w:val="single"/>
              </w:rPr>
            </w:pPr>
            <w:r w:rsidRPr="006D00C9">
              <w:rPr>
                <w:color w:val="FF0000"/>
                <w:sz w:val="18"/>
                <w:szCs w:val="18"/>
                <w:u w:val="single"/>
              </w:rPr>
              <w:t>Insulation</w:t>
            </w:r>
          </w:p>
        </w:tc>
        <w:tc>
          <w:tcPr>
            <w:tcW w:w="4823" w:type="dxa"/>
          </w:tcPr>
          <w:p w14:paraId="57ABCF92" w14:textId="77777777" w:rsidR="000D5D5B" w:rsidRPr="006D00C9" w:rsidRDefault="000D5D5B" w:rsidP="005A388F">
            <w:pPr>
              <w:rPr>
                <w:color w:val="FF0000"/>
                <w:sz w:val="18"/>
                <w:szCs w:val="18"/>
                <w:u w:val="single"/>
              </w:rPr>
            </w:pPr>
            <w:r w:rsidRPr="006D00C9">
              <w:rPr>
                <w:color w:val="FF0000"/>
                <w:sz w:val="18"/>
                <w:szCs w:val="18"/>
                <w:u w:val="single"/>
              </w:rPr>
              <w:t xml:space="preserve">Measure the dimensions of all insulated areas and verify dimensions match the </w:t>
            </w:r>
            <w:r w:rsidRPr="006D00C9">
              <w:rPr>
                <w:i/>
                <w:iCs/>
                <w:color w:val="FF0000"/>
                <w:sz w:val="18"/>
                <w:szCs w:val="18"/>
                <w:u w:val="single"/>
              </w:rPr>
              <w:t>construction documents</w:t>
            </w:r>
            <w:r w:rsidRPr="006D00C9">
              <w:rPr>
                <w:color w:val="FF0000"/>
                <w:sz w:val="18"/>
                <w:szCs w:val="18"/>
                <w:u w:val="single"/>
              </w:rPr>
              <w:t xml:space="preserve"> to the nearest </w:t>
            </w:r>
            <w:r w:rsidRPr="00975004">
              <w:rPr>
                <w:color w:val="FF0000"/>
                <w:sz w:val="18"/>
                <w:szCs w:val="18"/>
                <w:highlight w:val="yellow"/>
                <w:u w:val="single"/>
              </w:rPr>
              <w:t>square</w:t>
            </w:r>
            <w:r>
              <w:rPr>
                <w:color w:val="FF0000"/>
                <w:sz w:val="18"/>
                <w:szCs w:val="18"/>
                <w:u w:val="single"/>
              </w:rPr>
              <w:t xml:space="preserve"> </w:t>
            </w:r>
            <w:r w:rsidRPr="00975004">
              <w:rPr>
                <w:color w:val="FF0000"/>
                <w:sz w:val="18"/>
                <w:szCs w:val="18"/>
                <w:u w:val="single"/>
              </w:rPr>
              <w:t xml:space="preserve">foot and R-values </w:t>
            </w:r>
            <w:r w:rsidRPr="00975004">
              <w:rPr>
                <w:strike/>
                <w:color w:val="FF0000"/>
                <w:sz w:val="18"/>
                <w:szCs w:val="18"/>
                <w:highlight w:val="yellow"/>
                <w:u w:val="single"/>
              </w:rPr>
              <w:t>to within R-2</w:t>
            </w:r>
            <w:r w:rsidRPr="00975004">
              <w:rPr>
                <w:color w:val="FF0000"/>
                <w:sz w:val="18"/>
                <w:szCs w:val="18"/>
                <w:highlight w:val="yellow"/>
                <w:u w:val="single"/>
              </w:rPr>
              <w:t>.</w:t>
            </w:r>
            <w:r w:rsidRPr="006D00C9">
              <w:rPr>
                <w:color w:val="FF0000"/>
                <w:sz w:val="18"/>
                <w:szCs w:val="18"/>
                <w:u w:val="single"/>
              </w:rPr>
              <w:t xml:space="preserve"> </w:t>
            </w:r>
          </w:p>
          <w:p w14:paraId="7546F48B" w14:textId="77777777" w:rsidR="000D5D5B" w:rsidRPr="006D00C9" w:rsidRDefault="000D5D5B" w:rsidP="005A388F">
            <w:pPr>
              <w:rPr>
                <w:color w:val="FF0000"/>
                <w:sz w:val="18"/>
                <w:szCs w:val="18"/>
                <w:u w:val="single"/>
              </w:rPr>
            </w:pPr>
            <w:r w:rsidRPr="006D00C9">
              <w:rPr>
                <w:color w:val="FF0000"/>
                <w:sz w:val="18"/>
                <w:szCs w:val="18"/>
                <w:u w:val="single"/>
              </w:rPr>
              <w:t xml:space="preserve">Determine and record all unique insulation types, </w:t>
            </w:r>
            <w:r w:rsidRPr="00975004">
              <w:rPr>
                <w:strike/>
                <w:color w:val="FF0000"/>
                <w:sz w:val="18"/>
                <w:szCs w:val="18"/>
                <w:highlight w:val="yellow"/>
                <w:u w:val="single"/>
              </w:rPr>
              <w:t>brands</w:t>
            </w:r>
            <w:r w:rsidRPr="00975004">
              <w:rPr>
                <w:strike/>
                <w:color w:val="FF0000"/>
                <w:sz w:val="18"/>
                <w:szCs w:val="18"/>
                <w:u w:val="single"/>
              </w:rPr>
              <w:t xml:space="preserve"> </w:t>
            </w:r>
            <w:r w:rsidRPr="006D00C9">
              <w:rPr>
                <w:color w:val="FF0000"/>
                <w:sz w:val="18"/>
                <w:szCs w:val="18"/>
                <w:u w:val="single"/>
              </w:rPr>
              <w:t xml:space="preserve">and R-values and compare with </w:t>
            </w:r>
            <w:r w:rsidRPr="006D00C9">
              <w:rPr>
                <w:i/>
                <w:iCs/>
                <w:color w:val="FF0000"/>
                <w:sz w:val="18"/>
                <w:szCs w:val="18"/>
                <w:u w:val="single"/>
              </w:rPr>
              <w:t>construction documents</w:t>
            </w:r>
            <w:r w:rsidRPr="006D00C9">
              <w:rPr>
                <w:color w:val="FF0000"/>
                <w:sz w:val="18"/>
                <w:szCs w:val="18"/>
                <w:u w:val="single"/>
              </w:rPr>
              <w:t>.</w:t>
            </w:r>
          </w:p>
        </w:tc>
        <w:tc>
          <w:tcPr>
            <w:tcW w:w="3246" w:type="dxa"/>
          </w:tcPr>
          <w:p w14:paraId="3E2076E7" w14:textId="77777777" w:rsidR="000D5D5B" w:rsidRPr="006D00C9" w:rsidRDefault="000D5D5B" w:rsidP="005A388F">
            <w:pPr>
              <w:rPr>
                <w:color w:val="FF0000"/>
                <w:sz w:val="18"/>
                <w:szCs w:val="18"/>
                <w:u w:val="single"/>
              </w:rPr>
            </w:pPr>
            <w:r w:rsidRPr="006D00C9">
              <w:rPr>
                <w:color w:val="FF0000"/>
                <w:sz w:val="18"/>
                <w:szCs w:val="18"/>
                <w:u w:val="single"/>
              </w:rPr>
              <w:t xml:space="preserve">Record of visual confirmation or photographs of each insulation type and </w:t>
            </w:r>
            <w:r w:rsidRPr="00975004">
              <w:rPr>
                <w:strike/>
                <w:color w:val="FF0000"/>
                <w:sz w:val="18"/>
                <w:szCs w:val="18"/>
                <w:highlight w:val="yellow"/>
                <w:u w:val="single"/>
              </w:rPr>
              <w:t>brand and/or brand verification</w:t>
            </w:r>
            <w:r w:rsidRPr="006D00C9">
              <w:rPr>
                <w:color w:val="FF0000"/>
                <w:sz w:val="18"/>
                <w:szCs w:val="18"/>
                <w:u w:val="single"/>
              </w:rPr>
              <w:t xml:space="preserve"> by receipts or other accepted documentation. </w:t>
            </w:r>
          </w:p>
        </w:tc>
      </w:tr>
    </w:tbl>
    <w:p w14:paraId="2D46F507" w14:textId="77777777" w:rsidR="000D5D5B" w:rsidRPr="006D00C9" w:rsidRDefault="000D5D5B" w:rsidP="00860E10">
      <w:pPr>
        <w:rPr>
          <w:color w:val="FF0000"/>
          <w:u w:val="single"/>
        </w:rPr>
      </w:pPr>
    </w:p>
    <w:p w14:paraId="115C6A70" w14:textId="77777777" w:rsidR="008F5F45" w:rsidRDefault="008F5F45" w:rsidP="0000630F">
      <w:pPr>
        <w:rPr>
          <w:sz w:val="20"/>
          <w:szCs w:val="20"/>
        </w:rPr>
      </w:pPr>
    </w:p>
    <w:sectPr w:rsidR="008F5F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39B8" w14:textId="77777777" w:rsidR="00045EFF" w:rsidRDefault="00045EFF" w:rsidP="00237923">
      <w:pPr>
        <w:spacing w:after="0" w:line="240" w:lineRule="auto"/>
      </w:pPr>
      <w:r>
        <w:separator/>
      </w:r>
    </w:p>
  </w:endnote>
  <w:endnote w:type="continuationSeparator" w:id="0">
    <w:p w14:paraId="70824A92" w14:textId="77777777" w:rsidR="00045EFF" w:rsidRDefault="00045EFF"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25F1" w14:textId="77777777" w:rsidR="00045EFF" w:rsidRDefault="00045EFF" w:rsidP="00237923">
      <w:pPr>
        <w:spacing w:after="0" w:line="240" w:lineRule="auto"/>
      </w:pPr>
      <w:r>
        <w:separator/>
      </w:r>
    </w:p>
  </w:footnote>
  <w:footnote w:type="continuationSeparator" w:id="0">
    <w:p w14:paraId="2DE8865F" w14:textId="77777777" w:rsidR="00045EFF" w:rsidRDefault="00045EFF"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5FEC"/>
    <w:multiLevelType w:val="hybridMultilevel"/>
    <w:tmpl w:val="788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4"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5"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6"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7"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5B70"/>
    <w:multiLevelType w:val="hybridMultilevel"/>
    <w:tmpl w:val="278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77B84"/>
    <w:multiLevelType w:val="hybridMultilevel"/>
    <w:tmpl w:val="88BC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7"/>
  </w:num>
  <w:num w:numId="3" w16cid:durableId="625698953">
    <w:abstractNumId w:val="0"/>
  </w:num>
  <w:num w:numId="4" w16cid:durableId="1259292676">
    <w:abstractNumId w:val="5"/>
  </w:num>
  <w:num w:numId="5" w16cid:durableId="805660714">
    <w:abstractNumId w:val="3"/>
  </w:num>
  <w:num w:numId="6" w16cid:durableId="731078519">
    <w:abstractNumId w:val="4"/>
  </w:num>
  <w:num w:numId="7" w16cid:durableId="1948272157">
    <w:abstractNumId w:val="6"/>
  </w:num>
  <w:num w:numId="8" w16cid:durableId="322006689">
    <w:abstractNumId w:val="10"/>
  </w:num>
  <w:num w:numId="9" w16cid:durableId="1807159586">
    <w:abstractNumId w:val="11"/>
  </w:num>
  <w:num w:numId="10" w16cid:durableId="2035766702">
    <w:abstractNumId w:val="2"/>
  </w:num>
  <w:num w:numId="11" w16cid:durableId="1757441169">
    <w:abstractNumId w:val="8"/>
  </w:num>
  <w:num w:numId="12" w16cid:durableId="801537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45EFF"/>
    <w:rsid w:val="00055E1A"/>
    <w:rsid w:val="0007667E"/>
    <w:rsid w:val="000B303E"/>
    <w:rsid w:val="000B4F1C"/>
    <w:rsid w:val="000C0FDE"/>
    <w:rsid w:val="000D5D5B"/>
    <w:rsid w:val="000E18FA"/>
    <w:rsid w:val="00157E45"/>
    <w:rsid w:val="001747BD"/>
    <w:rsid w:val="001A56AA"/>
    <w:rsid w:val="002377BD"/>
    <w:rsid w:val="00237923"/>
    <w:rsid w:val="00255E22"/>
    <w:rsid w:val="002E6930"/>
    <w:rsid w:val="00317275"/>
    <w:rsid w:val="00374970"/>
    <w:rsid w:val="00454F97"/>
    <w:rsid w:val="00463483"/>
    <w:rsid w:val="00470334"/>
    <w:rsid w:val="004B2396"/>
    <w:rsid w:val="004D30A3"/>
    <w:rsid w:val="004E0497"/>
    <w:rsid w:val="00553D0D"/>
    <w:rsid w:val="005C1477"/>
    <w:rsid w:val="005E11FD"/>
    <w:rsid w:val="0060624D"/>
    <w:rsid w:val="0076551E"/>
    <w:rsid w:val="00794782"/>
    <w:rsid w:val="00852539"/>
    <w:rsid w:val="00860E10"/>
    <w:rsid w:val="00866FB3"/>
    <w:rsid w:val="0089043A"/>
    <w:rsid w:val="00891D8C"/>
    <w:rsid w:val="0089294F"/>
    <w:rsid w:val="008B5D59"/>
    <w:rsid w:val="008C2F70"/>
    <w:rsid w:val="008F5F45"/>
    <w:rsid w:val="009A2269"/>
    <w:rsid w:val="00A519E2"/>
    <w:rsid w:val="00AB6728"/>
    <w:rsid w:val="00AC2AF3"/>
    <w:rsid w:val="00C1713E"/>
    <w:rsid w:val="00D269FF"/>
    <w:rsid w:val="00D575CF"/>
    <w:rsid w:val="00D74622"/>
    <w:rsid w:val="00D824DE"/>
    <w:rsid w:val="00DF77EB"/>
    <w:rsid w:val="00E5284B"/>
    <w:rsid w:val="00EA29AB"/>
    <w:rsid w:val="00F26E81"/>
    <w:rsid w:val="00F44C65"/>
    <w:rsid w:val="00F4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 w:type="character" w:styleId="Hyperlink">
    <w:name w:val="Hyperlink"/>
    <w:basedOn w:val="DefaultParagraphFont"/>
    <w:uiPriority w:val="99"/>
    <w:unhideWhenUsed/>
    <w:rsid w:val="0089294F"/>
    <w:rPr>
      <w:color w:val="467886" w:themeColor="hyperlink"/>
      <w:u w:val="single"/>
    </w:rPr>
  </w:style>
  <w:style w:type="character" w:styleId="UnresolvedMention">
    <w:name w:val="Unresolved Mention"/>
    <w:basedOn w:val="DefaultParagraphFont"/>
    <w:uiPriority w:val="99"/>
    <w:semiHidden/>
    <w:unhideWhenUsed/>
    <w:rsid w:val="0089294F"/>
    <w:rPr>
      <w:color w:val="605E5C"/>
      <w:shd w:val="clear" w:color="auto" w:fill="E1DFDD"/>
    </w:rPr>
  </w:style>
  <w:style w:type="character" w:styleId="FollowedHyperlink">
    <w:name w:val="FollowedHyperlink"/>
    <w:basedOn w:val="DefaultParagraphFont"/>
    <w:uiPriority w:val="99"/>
    <w:semiHidden/>
    <w:unhideWhenUsed/>
    <w:rsid w:val="00892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4</cp:revision>
  <dcterms:created xsi:type="dcterms:W3CDTF">2025-01-20T18:51:00Z</dcterms:created>
  <dcterms:modified xsi:type="dcterms:W3CDTF">2025-01-20T19:01:00Z</dcterms:modified>
</cp:coreProperties>
</file>