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13C84EDC" w:rsidR="0000630F" w:rsidRPr="0000630F" w:rsidRDefault="000606CA">
      <w:pPr>
        <w:rPr>
          <w:sz w:val="20"/>
          <w:szCs w:val="20"/>
        </w:rPr>
      </w:pPr>
      <w:r>
        <w:t>Biogenic carbon storage is usually not considered in A1-A3 calculations. Net storage is contingent on assumptions about end-of-life disposition of materials. It also takes time for trees to regrow after they are harvested, which is needed to compensate for the emissions caused by harvesting and processing biogenic materials. Gross carbon storage may be reported independently of gross embodied emissions, but net storage calculations and reporting should be removed from the standard.</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8D9F385" w14:textId="77777777" w:rsidR="000606CA" w:rsidRPr="000606CA" w:rsidRDefault="000606CA" w:rsidP="000606CA">
      <w:pPr>
        <w:pStyle w:val="Heading3"/>
        <w:rPr>
          <w:strike/>
          <w:color w:val="4C94D8" w:themeColor="text2" w:themeTint="80"/>
          <w:u w:val="single"/>
        </w:rPr>
      </w:pPr>
      <w:r w:rsidRPr="000606CA">
        <w:rPr>
          <w:strike/>
          <w:color w:val="4C94D8" w:themeColor="text2" w:themeTint="80"/>
          <w:u w:val="single"/>
        </w:rPr>
        <w:t xml:space="preserve">Net </w:t>
      </w:r>
      <w:r w:rsidRPr="000606CA">
        <w:rPr>
          <w:i/>
          <w:strike/>
          <w:color w:val="4C94D8" w:themeColor="text2" w:themeTint="80"/>
          <w:u w:val="single"/>
        </w:rPr>
        <w:t>embodied carbon</w:t>
      </w:r>
      <w:r w:rsidRPr="000606CA">
        <w:rPr>
          <w:strike/>
          <w:color w:val="4C94D8" w:themeColor="text2" w:themeTint="80"/>
          <w:u w:val="single"/>
        </w:rPr>
        <w:t xml:space="preserve"> for products</w:t>
      </w:r>
    </w:p>
    <w:p w14:paraId="7C5FEC16" w14:textId="77777777" w:rsidR="000606CA" w:rsidRPr="000606CA" w:rsidRDefault="000606CA" w:rsidP="000606CA">
      <w:pPr>
        <w:rPr>
          <w:rFonts w:eastAsiaTheme="minorEastAsia"/>
          <w:strike/>
          <w:color w:val="4C94D8" w:themeColor="text2" w:themeTint="80"/>
          <w:u w:val="single"/>
        </w:rPr>
      </w:pPr>
      <w:r w:rsidRPr="000606CA">
        <w:rPr>
          <w:rFonts w:eastAsiaTheme="minorEastAsia"/>
          <w:strike/>
          <w:color w:val="4C94D8" w:themeColor="text2" w:themeTint="80"/>
          <w:u w:val="single"/>
        </w:rPr>
        <w:t xml:space="preserve">Net </w:t>
      </w:r>
      <w:r w:rsidRPr="000606CA">
        <w:rPr>
          <w:rFonts w:eastAsiaTheme="minorEastAsia"/>
          <w:i/>
          <w:strike/>
          <w:color w:val="4C94D8" w:themeColor="text2" w:themeTint="80"/>
          <w:u w:val="single"/>
        </w:rPr>
        <w:t>embodied carbon</w:t>
      </w:r>
      <w:r w:rsidRPr="000606CA">
        <w:rPr>
          <w:rFonts w:eastAsiaTheme="minorEastAsia"/>
          <w:strike/>
          <w:color w:val="4C94D8" w:themeColor="text2" w:themeTint="80"/>
          <w:u w:val="single"/>
        </w:rPr>
        <w:t xml:space="preserve"> emissions for each </w:t>
      </w:r>
      <w:r w:rsidRPr="000606CA">
        <w:rPr>
          <w:rFonts w:eastAsiaTheme="minorEastAsia"/>
          <w:i/>
          <w:strike/>
          <w:color w:val="4C94D8" w:themeColor="text2" w:themeTint="80"/>
          <w:u w:val="single"/>
        </w:rPr>
        <w:t>Minimum Assessed Product</w:t>
      </w:r>
      <w:r w:rsidRPr="000606CA">
        <w:rPr>
          <w:rFonts w:eastAsiaTheme="minorEastAsia"/>
          <w:strike/>
          <w:color w:val="4C94D8" w:themeColor="text2" w:themeTint="80"/>
          <w:u w:val="single"/>
        </w:rPr>
        <w:t xml:space="preserve"> shall be calculated as follows:</w:t>
      </w:r>
    </w:p>
    <w:p w14:paraId="06F0FFBB" w14:textId="77777777" w:rsidR="000606CA" w:rsidRPr="000606CA" w:rsidRDefault="000606CA" w:rsidP="000606CA">
      <w:pPr>
        <w:jc w:val="center"/>
        <w:rPr>
          <w:rFonts w:eastAsiaTheme="minorEastAsia"/>
          <w:b/>
          <w:bCs/>
          <w:strike/>
          <w:color w:val="4C94D8" w:themeColor="text2" w:themeTint="80"/>
          <w:u w:val="single"/>
        </w:rPr>
      </w:pPr>
      <w:proofErr w:type="spellStart"/>
      <w:r w:rsidRPr="000606CA">
        <w:rPr>
          <w:rFonts w:eastAsiaTheme="minorEastAsia"/>
          <w:b/>
          <w:bCs/>
          <w:strike/>
          <w:color w:val="4C94D8" w:themeColor="text2" w:themeTint="80"/>
          <w:u w:val="single"/>
        </w:rPr>
        <w:t>NEC</w:t>
      </w:r>
      <w:r w:rsidRPr="000606CA">
        <w:rPr>
          <w:rFonts w:eastAsiaTheme="minorEastAsia"/>
          <w:b/>
          <w:bCs/>
          <w:strike/>
          <w:color w:val="4C94D8" w:themeColor="text2" w:themeTint="80"/>
          <w:u w:val="single"/>
          <w:vertAlign w:val="subscript"/>
        </w:rPr>
        <w:t>product</w:t>
      </w:r>
      <w:proofErr w:type="spellEnd"/>
      <w:r w:rsidRPr="000606CA">
        <w:rPr>
          <w:rFonts w:eastAsiaTheme="minorEastAsia"/>
          <w:b/>
          <w:bCs/>
          <w:strike/>
          <w:color w:val="4C94D8" w:themeColor="text2" w:themeTint="80"/>
          <w:u w:val="single"/>
        </w:rPr>
        <w:t xml:space="preserve"> = </w:t>
      </w:r>
      <w:proofErr w:type="spellStart"/>
      <w:r w:rsidRPr="000606CA">
        <w:rPr>
          <w:rFonts w:eastAsiaTheme="minorEastAsia"/>
          <w:b/>
          <w:bCs/>
          <w:strike/>
          <w:color w:val="4C94D8" w:themeColor="text2" w:themeTint="80"/>
          <w:u w:val="single"/>
        </w:rPr>
        <w:t>GEM</w:t>
      </w:r>
      <w:r w:rsidRPr="000606CA">
        <w:rPr>
          <w:rFonts w:eastAsiaTheme="minorEastAsia"/>
          <w:b/>
          <w:bCs/>
          <w:strike/>
          <w:color w:val="4C94D8" w:themeColor="text2" w:themeTint="80"/>
          <w:u w:val="single"/>
          <w:vertAlign w:val="subscript"/>
        </w:rPr>
        <w:t>product</w:t>
      </w:r>
      <w:proofErr w:type="spellEnd"/>
      <w:r w:rsidRPr="000606CA">
        <w:rPr>
          <w:rFonts w:eastAsiaTheme="minorEastAsia"/>
          <w:b/>
          <w:bCs/>
          <w:strike/>
          <w:color w:val="4C94D8" w:themeColor="text2" w:themeTint="80"/>
          <w:u w:val="single"/>
        </w:rPr>
        <w:t xml:space="preserve"> – </w:t>
      </w:r>
      <w:proofErr w:type="spellStart"/>
      <w:r w:rsidRPr="000606CA">
        <w:rPr>
          <w:rFonts w:eastAsiaTheme="minorEastAsia"/>
          <w:b/>
          <w:bCs/>
          <w:strike/>
          <w:color w:val="4C94D8" w:themeColor="text2" w:themeTint="80"/>
          <w:u w:val="single"/>
        </w:rPr>
        <w:t>GCS</w:t>
      </w:r>
      <w:r w:rsidRPr="000606CA">
        <w:rPr>
          <w:rFonts w:eastAsiaTheme="minorEastAsia"/>
          <w:b/>
          <w:bCs/>
          <w:strike/>
          <w:color w:val="4C94D8" w:themeColor="text2" w:themeTint="80"/>
          <w:u w:val="single"/>
          <w:vertAlign w:val="subscript"/>
        </w:rPr>
        <w:t>product</w:t>
      </w:r>
      <w:proofErr w:type="spellEnd"/>
    </w:p>
    <w:p w14:paraId="668F6699" w14:textId="77777777" w:rsidR="000606CA" w:rsidRPr="000606CA" w:rsidRDefault="000606CA" w:rsidP="000606CA">
      <w:pPr>
        <w:rPr>
          <w:rFonts w:eastAsiaTheme="minorEastAsia"/>
          <w:strike/>
          <w:color w:val="4C94D8" w:themeColor="text2" w:themeTint="80"/>
          <w:u w:val="single"/>
          <w:vertAlign w:val="subscript"/>
        </w:rPr>
      </w:pPr>
      <w:r w:rsidRPr="000606CA">
        <w:rPr>
          <w:rFonts w:eastAsiaTheme="minorEastAsia"/>
          <w:strike/>
          <w:color w:val="4C94D8" w:themeColor="text2" w:themeTint="80"/>
          <w:u w:val="single"/>
        </w:rPr>
        <w:t>Where:</w:t>
      </w:r>
    </w:p>
    <w:p w14:paraId="265FE83B" w14:textId="77777777" w:rsidR="000606CA" w:rsidRPr="000606CA" w:rsidRDefault="000606CA" w:rsidP="000606CA">
      <w:pPr>
        <w:spacing w:after="0"/>
        <w:ind w:left="576"/>
        <w:rPr>
          <w:rFonts w:eastAsiaTheme="minorEastAsia"/>
          <w:strike/>
          <w:color w:val="4C94D8" w:themeColor="text2" w:themeTint="80"/>
          <w:u w:val="single"/>
        </w:rPr>
      </w:pPr>
      <w:proofErr w:type="spellStart"/>
      <w:r w:rsidRPr="000606CA">
        <w:rPr>
          <w:rFonts w:eastAsiaTheme="minorEastAsia"/>
          <w:strike/>
          <w:color w:val="4C94D8" w:themeColor="text2" w:themeTint="80"/>
          <w:u w:val="single"/>
        </w:rPr>
        <w:t>NEC</w:t>
      </w:r>
      <w:r w:rsidRPr="000606CA">
        <w:rPr>
          <w:rFonts w:eastAsiaTheme="minorEastAsia"/>
          <w:strike/>
          <w:color w:val="4C94D8" w:themeColor="text2" w:themeTint="80"/>
          <w:u w:val="single"/>
          <w:vertAlign w:val="subscript"/>
        </w:rPr>
        <w:t>product</w:t>
      </w:r>
      <w:proofErr w:type="spellEnd"/>
      <w:r w:rsidRPr="000606CA">
        <w:rPr>
          <w:rFonts w:eastAsiaTheme="minorEastAsia"/>
          <w:strike/>
          <w:color w:val="4C94D8" w:themeColor="text2" w:themeTint="80"/>
          <w:u w:val="single"/>
        </w:rPr>
        <w:t xml:space="preserve"> = Net </w:t>
      </w:r>
      <w:r w:rsidRPr="000606CA">
        <w:rPr>
          <w:rFonts w:eastAsiaTheme="minorEastAsia"/>
          <w:i/>
          <w:strike/>
          <w:color w:val="4C94D8" w:themeColor="text2" w:themeTint="80"/>
          <w:u w:val="single"/>
        </w:rPr>
        <w:t>embodied carbon</w:t>
      </w:r>
      <w:r w:rsidRPr="000606CA">
        <w:rPr>
          <w:rFonts w:eastAsiaTheme="minorEastAsia"/>
          <w:strike/>
          <w:color w:val="4C94D8" w:themeColor="text2" w:themeTint="80"/>
          <w:u w:val="single"/>
        </w:rPr>
        <w:t xml:space="preserve"> for a project-specific quantity of a </w:t>
      </w:r>
      <w:r w:rsidRPr="000606CA">
        <w:rPr>
          <w:rFonts w:eastAsiaTheme="minorEastAsia"/>
          <w:i/>
          <w:strike/>
          <w:color w:val="4C94D8" w:themeColor="text2" w:themeTint="80"/>
          <w:u w:val="single"/>
        </w:rPr>
        <w:t>building product</w:t>
      </w:r>
      <w:r w:rsidRPr="000606CA">
        <w:rPr>
          <w:rFonts w:eastAsiaTheme="minorEastAsia"/>
          <w:strike/>
          <w:color w:val="4C94D8" w:themeColor="text2" w:themeTint="80"/>
          <w:u w:val="single"/>
        </w:rPr>
        <w:t xml:space="preserve"> for life-cycle stages A1-A3 (kg CO</w:t>
      </w:r>
      <w:r w:rsidRPr="000606CA">
        <w:rPr>
          <w:rFonts w:eastAsiaTheme="minorEastAsia"/>
          <w:strike/>
          <w:color w:val="4C94D8" w:themeColor="text2" w:themeTint="80"/>
          <w:u w:val="single"/>
          <w:vertAlign w:val="subscript"/>
        </w:rPr>
        <w:t>2</w:t>
      </w:r>
      <w:r w:rsidRPr="000606CA">
        <w:rPr>
          <w:rFonts w:eastAsiaTheme="minorEastAsia"/>
          <w:strike/>
          <w:color w:val="4C94D8" w:themeColor="text2" w:themeTint="80"/>
          <w:u w:val="single"/>
        </w:rPr>
        <w:t>e)</w:t>
      </w:r>
    </w:p>
    <w:p w14:paraId="485CE172" w14:textId="77777777" w:rsidR="000606CA" w:rsidRPr="000606CA" w:rsidRDefault="000606CA" w:rsidP="000606CA">
      <w:pPr>
        <w:spacing w:after="0"/>
        <w:ind w:left="576"/>
        <w:rPr>
          <w:rFonts w:eastAsiaTheme="minorEastAsia"/>
          <w:strike/>
          <w:color w:val="4C94D8" w:themeColor="text2" w:themeTint="80"/>
          <w:u w:val="single"/>
        </w:rPr>
      </w:pPr>
      <w:proofErr w:type="spellStart"/>
      <w:r w:rsidRPr="000606CA">
        <w:rPr>
          <w:rFonts w:eastAsiaTheme="minorEastAsia"/>
          <w:strike/>
          <w:color w:val="4C94D8" w:themeColor="text2" w:themeTint="80"/>
          <w:u w:val="single"/>
        </w:rPr>
        <w:t>GEC</w:t>
      </w:r>
      <w:r w:rsidRPr="000606CA">
        <w:rPr>
          <w:rFonts w:eastAsiaTheme="minorEastAsia"/>
          <w:strike/>
          <w:color w:val="4C94D8" w:themeColor="text2" w:themeTint="80"/>
          <w:u w:val="single"/>
          <w:vertAlign w:val="subscript"/>
        </w:rPr>
        <w:t>product</w:t>
      </w:r>
      <w:proofErr w:type="spellEnd"/>
      <w:r w:rsidRPr="000606CA">
        <w:rPr>
          <w:rFonts w:eastAsiaTheme="minorEastAsia"/>
          <w:strike/>
          <w:color w:val="4C94D8" w:themeColor="text2" w:themeTint="80"/>
          <w:u w:val="single"/>
          <w:vertAlign w:val="subscript"/>
        </w:rPr>
        <w:t xml:space="preserve"> </w:t>
      </w:r>
      <w:r w:rsidRPr="000606CA">
        <w:rPr>
          <w:rFonts w:eastAsiaTheme="minorEastAsia"/>
          <w:strike/>
          <w:color w:val="4C94D8" w:themeColor="text2" w:themeTint="80"/>
          <w:u w:val="single"/>
        </w:rPr>
        <w:t xml:space="preserve">= GWP for a project-specific quantity of a </w:t>
      </w:r>
      <w:r w:rsidRPr="000606CA">
        <w:rPr>
          <w:rFonts w:eastAsiaTheme="minorEastAsia"/>
          <w:i/>
          <w:strike/>
          <w:color w:val="4C94D8" w:themeColor="text2" w:themeTint="80"/>
          <w:u w:val="single"/>
        </w:rPr>
        <w:t>building product</w:t>
      </w:r>
      <w:r w:rsidRPr="000606CA">
        <w:rPr>
          <w:rFonts w:eastAsiaTheme="minorEastAsia"/>
          <w:strike/>
          <w:color w:val="4C94D8" w:themeColor="text2" w:themeTint="80"/>
          <w:u w:val="single"/>
        </w:rPr>
        <w:t xml:space="preserve"> for life-cycle stages A1-A3 (kg CO</w:t>
      </w:r>
      <w:r w:rsidRPr="000606CA">
        <w:rPr>
          <w:rFonts w:eastAsiaTheme="minorEastAsia"/>
          <w:strike/>
          <w:color w:val="4C94D8" w:themeColor="text2" w:themeTint="80"/>
          <w:u w:val="single"/>
          <w:vertAlign w:val="subscript"/>
        </w:rPr>
        <w:t>2</w:t>
      </w:r>
      <w:r w:rsidRPr="000606CA">
        <w:rPr>
          <w:rFonts w:eastAsiaTheme="minorEastAsia"/>
          <w:strike/>
          <w:color w:val="4C94D8" w:themeColor="text2" w:themeTint="80"/>
          <w:u w:val="single"/>
        </w:rPr>
        <w:t>e)</w:t>
      </w:r>
    </w:p>
    <w:p w14:paraId="2E41AD3B" w14:textId="77777777" w:rsidR="000606CA" w:rsidRPr="000606CA" w:rsidRDefault="000606CA" w:rsidP="000606CA">
      <w:pPr>
        <w:ind w:left="576"/>
        <w:rPr>
          <w:rFonts w:eastAsiaTheme="minorEastAsia"/>
          <w:strike/>
          <w:color w:val="4C94D8" w:themeColor="text2" w:themeTint="80"/>
          <w:u w:val="single"/>
        </w:rPr>
      </w:pPr>
      <w:proofErr w:type="spellStart"/>
      <w:r w:rsidRPr="000606CA">
        <w:rPr>
          <w:rFonts w:eastAsiaTheme="minorEastAsia"/>
          <w:strike/>
          <w:color w:val="4C94D8" w:themeColor="text2" w:themeTint="80"/>
          <w:u w:val="single"/>
        </w:rPr>
        <w:lastRenderedPageBreak/>
        <w:t>GCS</w:t>
      </w:r>
      <w:r w:rsidRPr="000606CA">
        <w:rPr>
          <w:rFonts w:eastAsiaTheme="minorEastAsia"/>
          <w:strike/>
          <w:color w:val="4C94D8" w:themeColor="text2" w:themeTint="80"/>
          <w:u w:val="single"/>
          <w:vertAlign w:val="subscript"/>
        </w:rPr>
        <w:t>product</w:t>
      </w:r>
      <w:proofErr w:type="spellEnd"/>
      <w:r w:rsidRPr="000606CA">
        <w:rPr>
          <w:rFonts w:eastAsiaTheme="minorEastAsia"/>
          <w:strike/>
          <w:color w:val="4C94D8" w:themeColor="text2" w:themeTint="80"/>
          <w:u w:val="single"/>
        </w:rPr>
        <w:t xml:space="preserve"> = Carbon storage for a project-specific quantity of a </w:t>
      </w:r>
      <w:r w:rsidRPr="000606CA">
        <w:rPr>
          <w:rFonts w:eastAsiaTheme="minorEastAsia"/>
          <w:i/>
          <w:strike/>
          <w:color w:val="4C94D8" w:themeColor="text2" w:themeTint="80"/>
          <w:u w:val="single"/>
        </w:rPr>
        <w:t>building product</w:t>
      </w:r>
      <w:r w:rsidRPr="000606CA">
        <w:rPr>
          <w:rFonts w:eastAsiaTheme="minorEastAsia"/>
          <w:strike/>
          <w:color w:val="4C94D8" w:themeColor="text2" w:themeTint="80"/>
          <w:u w:val="single"/>
        </w:rPr>
        <w:t xml:space="preserve"> for life-cycle stages A1-A3 (kg CO2)</w:t>
      </w:r>
    </w:p>
    <w:p w14:paraId="7DD8A835" w14:textId="0D8EBFA8" w:rsidR="0000630F" w:rsidRPr="000606CA" w:rsidRDefault="0000630F">
      <w:pPr>
        <w:rPr>
          <w:strike/>
          <w:color w:val="4C94D8" w:themeColor="text2" w:themeTint="80"/>
        </w:rPr>
      </w:pPr>
    </w:p>
    <w:sectPr w:rsidR="0000630F" w:rsidRPr="000606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606CA"/>
    <w:rsid w:val="000E18FA"/>
    <w:rsid w:val="002377BD"/>
    <w:rsid w:val="00237923"/>
    <w:rsid w:val="00255E22"/>
    <w:rsid w:val="00450A2B"/>
    <w:rsid w:val="00553D0D"/>
    <w:rsid w:val="005C1477"/>
    <w:rsid w:val="008C2F70"/>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Mark D. Webster</cp:lastModifiedBy>
  <cp:revision>7</cp:revision>
  <dcterms:created xsi:type="dcterms:W3CDTF">2024-08-23T12:43:00Z</dcterms:created>
  <dcterms:modified xsi:type="dcterms:W3CDTF">2025-01-21T17:20:00Z</dcterms:modified>
</cp:coreProperties>
</file>