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651913EA" w:rsidR="0000630F" w:rsidRPr="0000630F" w:rsidRDefault="00CB3C56">
      <w:pPr>
        <w:rPr>
          <w:sz w:val="20"/>
          <w:szCs w:val="20"/>
        </w:rPr>
      </w:pPr>
      <w:bookmarkStart w:id="0" w:name="_Hlk188353819"/>
      <w:r>
        <w:t xml:space="preserve">Table 5.3.2: Simplify hierarchy. </w:t>
      </w:r>
      <w:r>
        <w:t>B</w:t>
      </w:r>
      <w:r>
        <w:t>reak into two categories: If specific product and manufacturer, use product-specific EPD or LCA if available; in all other cases, follow the i to iv hierarchy listed in Scenarios B and C.</w:t>
      </w:r>
      <w:bookmarkEnd w:id="0"/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043FE90" w14:textId="77777777" w:rsidR="00CB3C56" w:rsidRPr="006D00C9" w:rsidRDefault="00CB3C56" w:rsidP="00CB3C56">
      <w:pPr>
        <w:pStyle w:val="Heading3"/>
        <w:rPr>
          <w:color w:val="FF0000"/>
          <w:u w:val="single"/>
        </w:rPr>
      </w:pPr>
      <w:r w:rsidRPr="006D00C9">
        <w:rPr>
          <w:color w:val="FF0000"/>
          <w:u w:val="single"/>
        </w:rPr>
        <w:t>GWP Data Hierarchy</w:t>
      </w:r>
    </w:p>
    <w:p w14:paraId="0B89B14F" w14:textId="77777777" w:rsidR="00CB3C56" w:rsidRPr="006D00C9" w:rsidRDefault="00CB3C56" w:rsidP="00CB3C56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Allowable </w:t>
      </w:r>
      <w:r w:rsidRPr="006D00C9">
        <w:rPr>
          <w:rFonts w:eastAsiaTheme="minorEastAsia"/>
          <w:i/>
          <w:iCs/>
          <w:color w:val="FF0000"/>
          <w:u w:val="single"/>
        </w:rPr>
        <w:t>GWP factor</w:t>
      </w:r>
      <w:r w:rsidRPr="006D00C9">
        <w:rPr>
          <w:rFonts w:eastAsiaTheme="minorEastAsia"/>
          <w:color w:val="FF0000"/>
          <w:u w:val="single"/>
        </w:rPr>
        <w:t xml:space="preserve"> data sources shall be selected to match the highest available rank of resolution for the appropriate Scenario in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_Ref170131337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 xml:space="preserve">Table 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 xml:space="preserve">5.3.2. Data hierarchy scenarios and </w:t>
      </w:r>
      <w:r w:rsidRPr="006D00C9">
        <w:rPr>
          <w:rFonts w:eastAsiaTheme="minorEastAsia"/>
          <w:i/>
          <w:iCs/>
          <w:color w:val="FF0000"/>
          <w:u w:val="single"/>
        </w:rPr>
        <w:t>GWP factors</w:t>
      </w:r>
      <w:r w:rsidRPr="006D00C9">
        <w:rPr>
          <w:rFonts w:eastAsiaTheme="minorEastAsia"/>
          <w:color w:val="FF0000"/>
          <w:u w:val="single"/>
        </w:rPr>
        <w:t xml:space="preserve"> from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_Ref170131337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 xml:space="preserve">Table 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 xml:space="preserve">5.3.2 shall be explicitly stated in all reporting according to Section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_Ref170133870 \r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rFonts w:eastAsiaTheme="minorEastAsia"/>
          <w:color w:val="FF0000"/>
          <w:u w:val="single"/>
        </w:rPr>
        <w:t>8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>.2.</w:t>
      </w:r>
    </w:p>
    <w:p w14:paraId="3C63D2C1" w14:textId="77777777" w:rsidR="00CB3C56" w:rsidRPr="006D00C9" w:rsidRDefault="00CB3C56" w:rsidP="00CB3C56">
      <w:pPr>
        <w:pStyle w:val="Caption"/>
        <w:keepNext/>
        <w:rPr>
          <w:color w:val="FF0000"/>
          <w:u w:val="single"/>
        </w:rPr>
      </w:pPr>
      <w:bookmarkStart w:id="1" w:name="_Ref170131337"/>
      <w:r w:rsidRPr="006D00C9">
        <w:rPr>
          <w:color w:val="FF0000"/>
          <w:u w:val="single"/>
        </w:rPr>
        <w:t xml:space="preserve">Table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STYLEREF 2 \s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5.3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>.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SEQ Table \* ARABIC \s 2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2</w:t>
      </w:r>
      <w:r w:rsidRPr="006D00C9">
        <w:rPr>
          <w:color w:val="FF0000"/>
          <w:u w:val="single"/>
        </w:rPr>
        <w:fldChar w:fldCharType="end"/>
      </w:r>
      <w:bookmarkEnd w:id="1"/>
      <w:r w:rsidRPr="006D00C9">
        <w:rPr>
          <w:color w:val="FF0000"/>
          <w:u w:val="single"/>
        </w:rPr>
        <w:t xml:space="preserve"> GWP Data Hierarchy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5964"/>
      </w:tblGrid>
      <w:tr w:rsidR="00CB3C56" w:rsidRPr="006D00C9" w14:paraId="37BC1B84" w14:textId="77777777" w:rsidTr="00DC4CD6">
        <w:trPr>
          <w:trHeight w:val="350"/>
        </w:trPr>
        <w:tc>
          <w:tcPr>
            <w:tcW w:w="3386" w:type="dxa"/>
          </w:tcPr>
          <w:p w14:paraId="5C9912A6" w14:textId="77777777" w:rsidR="00CB3C56" w:rsidRPr="006D00C9" w:rsidRDefault="00CB3C56" w:rsidP="00DC4CD6">
            <w:pPr>
              <w:rPr>
                <w:rFonts w:eastAsiaTheme="minorEastAsia"/>
                <w:b/>
                <w:bCs/>
                <w:color w:val="FF0000"/>
                <w:u w:val="single"/>
              </w:rPr>
            </w:pPr>
            <w:r w:rsidRPr="006D00C9">
              <w:rPr>
                <w:rFonts w:eastAsiaTheme="minorEastAsia"/>
                <w:b/>
                <w:bCs/>
                <w:color w:val="FF0000"/>
                <w:u w:val="single"/>
              </w:rPr>
              <w:t>Scenario</w:t>
            </w:r>
          </w:p>
        </w:tc>
        <w:tc>
          <w:tcPr>
            <w:tcW w:w="5964" w:type="dxa"/>
          </w:tcPr>
          <w:p w14:paraId="776D50A7" w14:textId="77777777" w:rsidR="00CB3C56" w:rsidRPr="006D00C9" w:rsidRDefault="00CB3C56" w:rsidP="00DC4CD6">
            <w:pPr>
              <w:rPr>
                <w:rFonts w:eastAsiaTheme="minorEastAsia"/>
                <w:b/>
                <w:bCs/>
                <w:color w:val="FF0000"/>
                <w:u w:val="single"/>
              </w:rPr>
            </w:pPr>
            <w:r w:rsidRPr="006D00C9">
              <w:rPr>
                <w:rFonts w:eastAsiaTheme="minorEastAsia"/>
                <w:b/>
                <w:bCs/>
                <w:color w:val="FF0000"/>
                <w:u w:val="single"/>
              </w:rPr>
              <w:t>GWP Factor</w:t>
            </w:r>
          </w:p>
        </w:tc>
      </w:tr>
      <w:tr w:rsidR="00CB3C56" w:rsidRPr="006D00C9" w14:paraId="1FB72CD7" w14:textId="77777777" w:rsidTr="00DC4CD6">
        <w:trPr>
          <w:trHeight w:val="1333"/>
        </w:trPr>
        <w:tc>
          <w:tcPr>
            <w:tcW w:w="3386" w:type="dxa"/>
          </w:tcPr>
          <w:p w14:paraId="467872BD" w14:textId="194554F3" w:rsidR="00CB3C56" w:rsidRPr="006D00C9" w:rsidRDefault="00CB3C56" w:rsidP="00CB3C5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 xml:space="preserve">When a specific product and manufacturer has been referenced in the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construction </w:t>
            </w:r>
            <w:r w:rsidRPr="00CB3C56">
              <w:rPr>
                <w:rFonts w:eastAsiaTheme="minorEastAsia"/>
                <w:i/>
                <w:iCs/>
                <w:color w:val="FF0000"/>
                <w:u w:val="single"/>
              </w:rPr>
              <w:t>documents</w:t>
            </w:r>
            <w:r w:rsidRPr="00CB3C56">
              <w:rPr>
                <w:rFonts w:eastAsiaTheme="minorEastAsia"/>
                <w:color w:val="FF0000"/>
                <w:u w:val="single"/>
              </w:rPr>
              <w:t xml:space="preserve"> </w:t>
            </w:r>
            <w:r w:rsidRPr="00CB3C56">
              <w:rPr>
                <w:rFonts w:eastAsiaTheme="minorEastAsia"/>
                <w:color w:val="4C94D8" w:themeColor="text2" w:themeTint="80"/>
                <w:u w:val="single"/>
              </w:rPr>
              <w:t>and product-specific EPD or LCA is available.</w:t>
            </w:r>
          </w:p>
        </w:tc>
        <w:tc>
          <w:tcPr>
            <w:tcW w:w="5964" w:type="dxa"/>
          </w:tcPr>
          <w:p w14:paraId="15D6AA0F" w14:textId="77777777" w:rsidR="00CB3C56" w:rsidRPr="006D00C9" w:rsidRDefault="00CB3C56" w:rsidP="00CB3C5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Product-specific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EPD </w:t>
            </w:r>
            <w:r w:rsidRPr="006D00C9">
              <w:rPr>
                <w:rFonts w:eastAsiaTheme="minorEastAsia"/>
                <w:color w:val="FF0000"/>
                <w:u w:val="single"/>
              </w:rPr>
              <w:t>for the specified product</w:t>
            </w:r>
          </w:p>
          <w:p w14:paraId="6746BC6A" w14:textId="77777777" w:rsidR="00CB3C56" w:rsidRPr="006D00C9" w:rsidRDefault="00CB3C56" w:rsidP="00CB3C5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>LCA for the specified product</w:t>
            </w:r>
          </w:p>
        </w:tc>
      </w:tr>
      <w:tr w:rsidR="00CB3C56" w:rsidRPr="006D00C9" w14:paraId="6231B428" w14:textId="77777777" w:rsidTr="00DC4CD6">
        <w:trPr>
          <w:trHeight w:val="1333"/>
        </w:trPr>
        <w:tc>
          <w:tcPr>
            <w:tcW w:w="3386" w:type="dxa"/>
          </w:tcPr>
          <w:p w14:paraId="513FF105" w14:textId="3CFC9EC3" w:rsidR="00CB3C56" w:rsidRPr="00CB3C56" w:rsidRDefault="00CB3C56" w:rsidP="00CB3C56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color w:val="4C94D8" w:themeColor="text2" w:themeTint="80"/>
                <w:u w:val="single"/>
              </w:rPr>
            </w:pPr>
            <w:r w:rsidRPr="00CB3C56">
              <w:rPr>
                <w:rFonts w:eastAsiaTheme="minorEastAsia"/>
                <w:color w:val="4C94D8" w:themeColor="text2" w:themeTint="80"/>
                <w:u w:val="single"/>
              </w:rPr>
              <w:lastRenderedPageBreak/>
              <w:t>All other cases.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 </w:t>
            </w:r>
            <w:proofErr w:type="gramStart"/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>When</w:t>
            </w:r>
            <w:proofErr w:type="gramEnd"/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 a specific product and manufacturer has been referenced in the </w: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t>construction documents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>, but</w:t>
            </w:r>
            <w:r w:rsidRPr="00CB3C56">
              <w:rPr>
                <w:rFonts w:eastAsiaTheme="minorEastAsia"/>
                <w:color w:val="4C94D8" w:themeColor="text2" w:themeTint="80"/>
                <w:u w:val="single"/>
              </w:rPr>
              <w:t xml:space="preserve"> 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no </w: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t>product specific EPD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 is available</w:t>
            </w:r>
          </w:p>
        </w:tc>
        <w:tc>
          <w:tcPr>
            <w:tcW w:w="5964" w:type="dxa"/>
          </w:tcPr>
          <w:p w14:paraId="1D0E4082" w14:textId="77777777" w:rsidR="00CB3C56" w:rsidRPr="006D00C9" w:rsidRDefault="00CB3C56" w:rsidP="00CB3C5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Industry-average EPD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 for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comparable product type</w:t>
            </w:r>
          </w:p>
          <w:p w14:paraId="46CD8016" w14:textId="77777777" w:rsidR="00CB3C56" w:rsidRPr="006D00C9" w:rsidRDefault="00CB3C56" w:rsidP="00CB3C5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Benchmark </w:t>
            </w:r>
            <w:r w:rsidRPr="006D00C9">
              <w:rPr>
                <w:rFonts w:eastAsiaTheme="minorEastAsia"/>
                <w:color w:val="FF0000"/>
                <w:u w:val="single"/>
              </w:rPr>
              <w:t>value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 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for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comparable product type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 in accordance with section </w:t>
            </w:r>
            <w:r w:rsidRPr="006D00C9">
              <w:rPr>
                <w:rFonts w:eastAsiaTheme="minorEastAsia"/>
                <w:color w:val="FF0000"/>
                <w:u w:val="single"/>
              </w:rPr>
              <w:fldChar w:fldCharType="begin"/>
            </w:r>
            <w:r w:rsidRPr="006D00C9">
              <w:rPr>
                <w:rFonts w:eastAsiaTheme="minorEastAsia"/>
                <w:color w:val="FF0000"/>
                <w:u w:val="single"/>
              </w:rPr>
              <w:instrText xml:space="preserve"> REF _Ref170133940 \r \h  \* MERGEFORMAT </w:instrText>
            </w:r>
            <w:r w:rsidRPr="006D00C9">
              <w:rPr>
                <w:rFonts w:eastAsiaTheme="minorEastAsia"/>
                <w:color w:val="FF0000"/>
                <w:u w:val="single"/>
              </w:rPr>
            </w:r>
            <w:r w:rsidRPr="006D00C9">
              <w:rPr>
                <w:rFonts w:eastAsiaTheme="minorEastAsia"/>
                <w:color w:val="FF0000"/>
                <w:u w:val="single"/>
              </w:rPr>
              <w:fldChar w:fldCharType="separate"/>
            </w:r>
            <w:r w:rsidRPr="006D00C9">
              <w:rPr>
                <w:rFonts w:eastAsiaTheme="minorEastAsia"/>
                <w:color w:val="FF0000"/>
                <w:u w:val="single"/>
              </w:rPr>
              <w:t>5.3.3</w:t>
            </w:r>
            <w:r w:rsidRPr="006D00C9">
              <w:rPr>
                <w:rFonts w:eastAsiaTheme="minorEastAsia"/>
                <w:color w:val="FF0000"/>
                <w:u w:val="single"/>
              </w:rPr>
              <w:fldChar w:fldCharType="end"/>
            </w:r>
            <w:r w:rsidRPr="006D00C9">
              <w:rPr>
                <w:rFonts w:eastAsiaTheme="minorEastAsia"/>
                <w:color w:val="FF0000"/>
                <w:u w:val="single"/>
              </w:rPr>
              <w:t>.</w:t>
            </w:r>
          </w:p>
          <w:p w14:paraId="54B7A30F" w14:textId="77777777" w:rsidR="00CB3C56" w:rsidRPr="006D00C9" w:rsidRDefault="00CB3C56" w:rsidP="00CB3C56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 xml:space="preserve">LCA for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comparable product type</w:t>
            </w:r>
          </w:p>
          <w:p w14:paraId="23F752D6" w14:textId="77777777" w:rsidR="00CB3C56" w:rsidRPr="006D00C9" w:rsidRDefault="00CB3C56" w:rsidP="00CB3C56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>For MEP products, default values from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fldChar w:fldCharType="begin"/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instrText xml:space="preserve"> REF _Ref170133799 \h  \* MERGEFORMAT </w:instrTex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fldChar w:fldCharType="separate"/>
            </w:r>
            <w:r w:rsidRPr="006D00C9">
              <w:rPr>
                <w:color w:val="FF0000"/>
                <w:u w:val="single"/>
              </w:rPr>
              <w:t xml:space="preserve">Table </w:t>
            </w:r>
            <w:r w:rsidRPr="006D00C9">
              <w:rPr>
                <w:noProof/>
                <w:color w:val="FF0000"/>
                <w:u w:val="single"/>
              </w:rPr>
              <w:t>10.1</w:t>
            </w:r>
            <w:r w:rsidRPr="006D00C9">
              <w:rPr>
                <w:color w:val="FF0000"/>
                <w:u w:val="single"/>
              </w:rPr>
              <w:t>.</w:t>
            </w:r>
            <w:r w:rsidRPr="006D00C9">
              <w:rPr>
                <w:noProof/>
                <w:color w:val="FF0000"/>
                <w:u w:val="single"/>
              </w:rPr>
              <w:t>5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fldChar w:fldCharType="end"/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.</w:t>
            </w:r>
          </w:p>
        </w:tc>
      </w:tr>
      <w:tr w:rsidR="00CB3C56" w:rsidRPr="006D00C9" w14:paraId="161590DD" w14:textId="77777777" w:rsidTr="00DC4CD6">
        <w:trPr>
          <w:trHeight w:val="1331"/>
        </w:trPr>
        <w:tc>
          <w:tcPr>
            <w:tcW w:w="3386" w:type="dxa"/>
          </w:tcPr>
          <w:p w14:paraId="27D94942" w14:textId="77777777" w:rsidR="00CB3C56" w:rsidRPr="00CB3C56" w:rsidRDefault="00CB3C56" w:rsidP="00CB3C56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eastAsiaTheme="minorEastAsia"/>
                <w:strike/>
                <w:color w:val="FF0000"/>
                <w:u w:val="single"/>
              </w:rPr>
            </w:pP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When a product type has been indicated in the </w: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t>construction documents,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 but no specific product and/or manufacturer has been specified</w:t>
            </w:r>
          </w:p>
        </w:tc>
        <w:tc>
          <w:tcPr>
            <w:tcW w:w="5964" w:type="dxa"/>
          </w:tcPr>
          <w:p w14:paraId="55DC43F0" w14:textId="77777777" w:rsidR="00CB3C56" w:rsidRPr="00CB3C56" w:rsidRDefault="00CB3C56" w:rsidP="00CB3C5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trike/>
                <w:color w:val="4C94D8" w:themeColor="text2" w:themeTint="80"/>
                <w:u w:val="single"/>
              </w:rPr>
            </w:pP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t>Industry-average EPD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 for </w: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t>comparable product type</w:t>
            </w:r>
          </w:p>
          <w:p w14:paraId="7E273BA7" w14:textId="77777777" w:rsidR="00CB3C56" w:rsidRPr="00CB3C56" w:rsidRDefault="00CB3C56" w:rsidP="00CB3C5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trike/>
                <w:color w:val="4C94D8" w:themeColor="text2" w:themeTint="80"/>
                <w:u w:val="single"/>
              </w:rPr>
            </w:pP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t xml:space="preserve">Benchmark 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value for </w: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t>comparable product type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 in accordance with section 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fldChar w:fldCharType="begin"/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instrText xml:space="preserve"> REF _Ref170133940 \r \h  \* MERGEFORMAT </w:instrTex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fldChar w:fldCharType="separate"/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>5.3.3</w:t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fldChar w:fldCharType="end"/>
            </w: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>.</w:t>
            </w:r>
          </w:p>
          <w:p w14:paraId="42288455" w14:textId="77777777" w:rsidR="00CB3C56" w:rsidRPr="00CB3C56" w:rsidRDefault="00CB3C56" w:rsidP="00CB3C56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eastAsiaTheme="minorEastAsia"/>
                <w:strike/>
                <w:color w:val="4C94D8" w:themeColor="text2" w:themeTint="80"/>
                <w:u w:val="single"/>
              </w:rPr>
            </w:pP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 xml:space="preserve">LCA for </w: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t>comparable product type</w:t>
            </w:r>
          </w:p>
          <w:p w14:paraId="276984BA" w14:textId="77777777" w:rsidR="00CB3C56" w:rsidRPr="006D00C9" w:rsidRDefault="00CB3C56" w:rsidP="00CB3C56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eastAsiaTheme="minorEastAsia"/>
                <w:color w:val="FF0000"/>
                <w:u w:val="single"/>
              </w:rPr>
            </w:pPr>
            <w:r w:rsidRPr="00CB3C56">
              <w:rPr>
                <w:rFonts w:eastAsiaTheme="minorEastAsia"/>
                <w:strike/>
                <w:color w:val="4C94D8" w:themeColor="text2" w:themeTint="80"/>
                <w:u w:val="single"/>
              </w:rPr>
              <w:t>For MEP products, default values from</w: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t xml:space="preserve"> </w: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fldChar w:fldCharType="begin"/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instrText xml:space="preserve"> REF _Ref170133799 \h  \* MERGEFORMAT </w:instrTex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fldChar w:fldCharType="separate"/>
            </w:r>
            <w:r w:rsidRPr="00CB3C56">
              <w:rPr>
                <w:strike/>
                <w:color w:val="4C94D8" w:themeColor="text2" w:themeTint="80"/>
                <w:u w:val="single"/>
              </w:rPr>
              <w:t xml:space="preserve">Table </w:t>
            </w:r>
            <w:r w:rsidRPr="00CB3C56">
              <w:rPr>
                <w:strike/>
                <w:noProof/>
                <w:color w:val="4C94D8" w:themeColor="text2" w:themeTint="80"/>
                <w:u w:val="single"/>
              </w:rPr>
              <w:t>10.1</w:t>
            </w:r>
            <w:r w:rsidRPr="00CB3C56">
              <w:rPr>
                <w:strike/>
                <w:color w:val="4C94D8" w:themeColor="text2" w:themeTint="80"/>
                <w:u w:val="single"/>
              </w:rPr>
              <w:t>.</w:t>
            </w:r>
            <w:r w:rsidRPr="00CB3C56">
              <w:rPr>
                <w:strike/>
                <w:noProof/>
                <w:color w:val="4C94D8" w:themeColor="text2" w:themeTint="80"/>
                <w:u w:val="single"/>
              </w:rPr>
              <w:t>5</w:t>
            </w:r>
            <w:r w:rsidRPr="00CB3C56">
              <w:rPr>
                <w:rFonts w:eastAsiaTheme="minorEastAsia"/>
                <w:i/>
                <w:iCs/>
                <w:strike/>
                <w:color w:val="4C94D8" w:themeColor="text2" w:themeTint="80"/>
                <w:u w:val="single"/>
              </w:rPr>
              <w:fldChar w:fldCharType="end"/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.</w:t>
            </w:r>
          </w:p>
        </w:tc>
      </w:tr>
    </w:tbl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BF97"/>
    <w:multiLevelType w:val="hybridMultilevel"/>
    <w:tmpl w:val="98965A04"/>
    <w:lvl w:ilvl="0" w:tplc="D0F29002">
      <w:start w:val="1"/>
      <w:numFmt w:val="lowerRoman"/>
      <w:lvlText w:val="%1."/>
      <w:lvlJc w:val="right"/>
      <w:pPr>
        <w:ind w:left="720" w:hanging="360"/>
      </w:pPr>
    </w:lvl>
    <w:lvl w:ilvl="1" w:tplc="18944214">
      <w:start w:val="1"/>
      <w:numFmt w:val="lowerLetter"/>
      <w:lvlText w:val="%2."/>
      <w:lvlJc w:val="left"/>
      <w:pPr>
        <w:ind w:left="1440" w:hanging="360"/>
      </w:pPr>
    </w:lvl>
    <w:lvl w:ilvl="2" w:tplc="647451EE">
      <w:start w:val="1"/>
      <w:numFmt w:val="lowerRoman"/>
      <w:lvlText w:val="%3."/>
      <w:lvlJc w:val="right"/>
      <w:pPr>
        <w:ind w:left="2160" w:hanging="180"/>
      </w:pPr>
    </w:lvl>
    <w:lvl w:ilvl="3" w:tplc="78B05B1E">
      <w:start w:val="1"/>
      <w:numFmt w:val="decimal"/>
      <w:lvlText w:val="%4."/>
      <w:lvlJc w:val="left"/>
      <w:pPr>
        <w:ind w:left="2880" w:hanging="360"/>
      </w:pPr>
    </w:lvl>
    <w:lvl w:ilvl="4" w:tplc="22545FFE">
      <w:start w:val="1"/>
      <w:numFmt w:val="lowerLetter"/>
      <w:lvlText w:val="%5."/>
      <w:lvlJc w:val="left"/>
      <w:pPr>
        <w:ind w:left="3600" w:hanging="360"/>
      </w:pPr>
    </w:lvl>
    <w:lvl w:ilvl="5" w:tplc="F202B8B4">
      <w:start w:val="1"/>
      <w:numFmt w:val="lowerRoman"/>
      <w:lvlText w:val="%6."/>
      <w:lvlJc w:val="right"/>
      <w:pPr>
        <w:ind w:left="4320" w:hanging="180"/>
      </w:pPr>
    </w:lvl>
    <w:lvl w:ilvl="6" w:tplc="847CF3AE">
      <w:start w:val="1"/>
      <w:numFmt w:val="decimal"/>
      <w:lvlText w:val="%7."/>
      <w:lvlJc w:val="left"/>
      <w:pPr>
        <w:ind w:left="5040" w:hanging="360"/>
      </w:pPr>
    </w:lvl>
    <w:lvl w:ilvl="7" w:tplc="020256BC">
      <w:start w:val="1"/>
      <w:numFmt w:val="lowerLetter"/>
      <w:lvlText w:val="%8."/>
      <w:lvlJc w:val="left"/>
      <w:pPr>
        <w:ind w:left="5760" w:hanging="360"/>
      </w:pPr>
    </w:lvl>
    <w:lvl w:ilvl="8" w:tplc="CFFEF7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EF216"/>
    <w:multiLevelType w:val="hybridMultilevel"/>
    <w:tmpl w:val="0AA6D4D6"/>
    <w:lvl w:ilvl="0" w:tplc="B7B893AA">
      <w:start w:val="1"/>
      <w:numFmt w:val="lowerRoman"/>
      <w:lvlText w:val="%1."/>
      <w:lvlJc w:val="right"/>
      <w:pPr>
        <w:ind w:left="720" w:hanging="360"/>
      </w:pPr>
    </w:lvl>
    <w:lvl w:ilvl="1" w:tplc="48D0D13A">
      <w:start w:val="1"/>
      <w:numFmt w:val="lowerLetter"/>
      <w:lvlText w:val="%2."/>
      <w:lvlJc w:val="left"/>
      <w:pPr>
        <w:ind w:left="1440" w:hanging="360"/>
      </w:pPr>
    </w:lvl>
    <w:lvl w:ilvl="2" w:tplc="29A05464">
      <w:start w:val="1"/>
      <w:numFmt w:val="lowerRoman"/>
      <w:lvlText w:val="%3."/>
      <w:lvlJc w:val="right"/>
      <w:pPr>
        <w:ind w:left="2160" w:hanging="180"/>
      </w:pPr>
    </w:lvl>
    <w:lvl w:ilvl="3" w:tplc="0D2006B6">
      <w:start w:val="1"/>
      <w:numFmt w:val="decimal"/>
      <w:lvlText w:val="%4."/>
      <w:lvlJc w:val="left"/>
      <w:pPr>
        <w:ind w:left="2880" w:hanging="360"/>
      </w:pPr>
    </w:lvl>
    <w:lvl w:ilvl="4" w:tplc="B6600836">
      <w:start w:val="1"/>
      <w:numFmt w:val="lowerLetter"/>
      <w:lvlText w:val="%5."/>
      <w:lvlJc w:val="left"/>
      <w:pPr>
        <w:ind w:left="3600" w:hanging="360"/>
      </w:pPr>
    </w:lvl>
    <w:lvl w:ilvl="5" w:tplc="5CF83244">
      <w:start w:val="1"/>
      <w:numFmt w:val="lowerRoman"/>
      <w:lvlText w:val="%6."/>
      <w:lvlJc w:val="right"/>
      <w:pPr>
        <w:ind w:left="4320" w:hanging="180"/>
      </w:pPr>
    </w:lvl>
    <w:lvl w:ilvl="6" w:tplc="E0AEF134">
      <w:start w:val="1"/>
      <w:numFmt w:val="decimal"/>
      <w:lvlText w:val="%7."/>
      <w:lvlJc w:val="left"/>
      <w:pPr>
        <w:ind w:left="5040" w:hanging="360"/>
      </w:pPr>
    </w:lvl>
    <w:lvl w:ilvl="7" w:tplc="F14A61CE">
      <w:start w:val="1"/>
      <w:numFmt w:val="lowerLetter"/>
      <w:lvlText w:val="%8."/>
      <w:lvlJc w:val="left"/>
      <w:pPr>
        <w:ind w:left="5760" w:hanging="360"/>
      </w:pPr>
    </w:lvl>
    <w:lvl w:ilvl="8" w:tplc="845C44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2C7C"/>
    <w:multiLevelType w:val="hybridMultilevel"/>
    <w:tmpl w:val="859C2FB8"/>
    <w:lvl w:ilvl="0" w:tplc="335246AC">
      <w:start w:val="1"/>
      <w:numFmt w:val="upperLetter"/>
      <w:lvlText w:val="%1."/>
      <w:lvlJc w:val="left"/>
      <w:pPr>
        <w:ind w:left="360" w:hanging="360"/>
      </w:pPr>
    </w:lvl>
    <w:lvl w:ilvl="1" w:tplc="9C2CCE34">
      <w:start w:val="1"/>
      <w:numFmt w:val="lowerLetter"/>
      <w:lvlText w:val="%2."/>
      <w:lvlJc w:val="left"/>
      <w:pPr>
        <w:ind w:left="1080" w:hanging="360"/>
      </w:pPr>
    </w:lvl>
    <w:lvl w:ilvl="2" w:tplc="50121CE4">
      <w:start w:val="1"/>
      <w:numFmt w:val="lowerRoman"/>
      <w:lvlText w:val="%3."/>
      <w:lvlJc w:val="right"/>
      <w:pPr>
        <w:ind w:left="1800" w:hanging="180"/>
      </w:pPr>
    </w:lvl>
    <w:lvl w:ilvl="3" w:tplc="CBFAEE6E">
      <w:start w:val="1"/>
      <w:numFmt w:val="decimal"/>
      <w:lvlText w:val="%4."/>
      <w:lvlJc w:val="left"/>
      <w:pPr>
        <w:ind w:left="2520" w:hanging="360"/>
      </w:pPr>
    </w:lvl>
    <w:lvl w:ilvl="4" w:tplc="7FE2718A">
      <w:start w:val="1"/>
      <w:numFmt w:val="lowerLetter"/>
      <w:lvlText w:val="%5."/>
      <w:lvlJc w:val="left"/>
      <w:pPr>
        <w:ind w:left="3240" w:hanging="360"/>
      </w:pPr>
    </w:lvl>
    <w:lvl w:ilvl="5" w:tplc="5BAC422A">
      <w:start w:val="1"/>
      <w:numFmt w:val="lowerRoman"/>
      <w:lvlText w:val="%6."/>
      <w:lvlJc w:val="right"/>
      <w:pPr>
        <w:ind w:left="3960" w:hanging="180"/>
      </w:pPr>
    </w:lvl>
    <w:lvl w:ilvl="6" w:tplc="A58A2A70">
      <w:start w:val="1"/>
      <w:numFmt w:val="decimal"/>
      <w:lvlText w:val="%7."/>
      <w:lvlJc w:val="left"/>
      <w:pPr>
        <w:ind w:left="4680" w:hanging="360"/>
      </w:pPr>
    </w:lvl>
    <w:lvl w:ilvl="7" w:tplc="878CA0EC">
      <w:start w:val="1"/>
      <w:numFmt w:val="lowerLetter"/>
      <w:lvlText w:val="%8."/>
      <w:lvlJc w:val="left"/>
      <w:pPr>
        <w:ind w:left="5400" w:hanging="360"/>
      </w:pPr>
    </w:lvl>
    <w:lvl w:ilvl="8" w:tplc="30A8FAD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4D6E1"/>
    <w:multiLevelType w:val="hybridMultilevel"/>
    <w:tmpl w:val="80AE3758"/>
    <w:lvl w:ilvl="0" w:tplc="7B141CBC">
      <w:start w:val="1"/>
      <w:numFmt w:val="lowerRoman"/>
      <w:lvlText w:val="%1."/>
      <w:lvlJc w:val="right"/>
      <w:pPr>
        <w:ind w:left="720" w:hanging="360"/>
      </w:pPr>
    </w:lvl>
    <w:lvl w:ilvl="1" w:tplc="A210E828">
      <w:start w:val="1"/>
      <w:numFmt w:val="lowerLetter"/>
      <w:lvlText w:val="%2."/>
      <w:lvlJc w:val="left"/>
      <w:pPr>
        <w:ind w:left="1440" w:hanging="360"/>
      </w:pPr>
    </w:lvl>
    <w:lvl w:ilvl="2" w:tplc="D9A8A4BC">
      <w:start w:val="1"/>
      <w:numFmt w:val="lowerRoman"/>
      <w:lvlText w:val="%3."/>
      <w:lvlJc w:val="right"/>
      <w:pPr>
        <w:ind w:left="2160" w:hanging="180"/>
      </w:pPr>
    </w:lvl>
    <w:lvl w:ilvl="3" w:tplc="42A4F0B6">
      <w:start w:val="1"/>
      <w:numFmt w:val="decimal"/>
      <w:lvlText w:val="%4."/>
      <w:lvlJc w:val="left"/>
      <w:pPr>
        <w:ind w:left="2880" w:hanging="360"/>
      </w:pPr>
    </w:lvl>
    <w:lvl w:ilvl="4" w:tplc="3B06BC40">
      <w:start w:val="1"/>
      <w:numFmt w:val="lowerLetter"/>
      <w:lvlText w:val="%5."/>
      <w:lvlJc w:val="left"/>
      <w:pPr>
        <w:ind w:left="3600" w:hanging="360"/>
      </w:pPr>
    </w:lvl>
    <w:lvl w:ilvl="5" w:tplc="6960F95A">
      <w:start w:val="1"/>
      <w:numFmt w:val="lowerRoman"/>
      <w:lvlText w:val="%6."/>
      <w:lvlJc w:val="right"/>
      <w:pPr>
        <w:ind w:left="4320" w:hanging="180"/>
      </w:pPr>
    </w:lvl>
    <w:lvl w:ilvl="6" w:tplc="76FAB298">
      <w:start w:val="1"/>
      <w:numFmt w:val="decimal"/>
      <w:lvlText w:val="%7."/>
      <w:lvlJc w:val="left"/>
      <w:pPr>
        <w:ind w:left="5040" w:hanging="360"/>
      </w:pPr>
    </w:lvl>
    <w:lvl w:ilvl="7" w:tplc="2496D338">
      <w:start w:val="1"/>
      <w:numFmt w:val="lowerLetter"/>
      <w:lvlText w:val="%8."/>
      <w:lvlJc w:val="left"/>
      <w:pPr>
        <w:ind w:left="5760" w:hanging="360"/>
      </w:pPr>
    </w:lvl>
    <w:lvl w:ilvl="8" w:tplc="A52AC364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2676">
    <w:abstractNumId w:val="2"/>
  </w:num>
  <w:num w:numId="2" w16cid:durableId="805660714">
    <w:abstractNumId w:val="0"/>
  </w:num>
  <w:num w:numId="3" w16cid:durableId="731078519">
    <w:abstractNumId w:val="1"/>
  </w:num>
  <w:num w:numId="4" w16cid:durableId="194827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450A2B"/>
    <w:rsid w:val="00553D0D"/>
    <w:rsid w:val="005C1477"/>
    <w:rsid w:val="008C2F70"/>
    <w:rsid w:val="00A519E2"/>
    <w:rsid w:val="00AB6728"/>
    <w:rsid w:val="00CB3C56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table" w:styleId="TableGrid">
    <w:name w:val="Table Grid"/>
    <w:basedOn w:val="TableNormal"/>
    <w:uiPriority w:val="39"/>
    <w:rsid w:val="00CB3C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B3C56"/>
    <w:pPr>
      <w:spacing w:after="200" w:line="240" w:lineRule="auto"/>
    </w:pPr>
    <w:rPr>
      <w:rFonts w:ascii="Source Sans Pro" w:hAnsi="Source Sans Pro"/>
      <w:i/>
      <w:iCs/>
      <w:color w:val="000000" w:themeColor="text1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7</cp:revision>
  <dcterms:created xsi:type="dcterms:W3CDTF">2024-08-23T12:43:00Z</dcterms:created>
  <dcterms:modified xsi:type="dcterms:W3CDTF">2025-01-21T17:13:00Z</dcterms:modified>
</cp:coreProperties>
</file>