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12022292" w:rsidR="0000630F" w:rsidRPr="0000630F" w:rsidRDefault="001B1AFA">
      <w:pPr>
        <w:rPr>
          <w:sz w:val="20"/>
          <w:szCs w:val="20"/>
        </w:rPr>
      </w:pPr>
      <w:r>
        <w:t>Life-Cycle Assessment (LCA)</w:t>
      </w:r>
      <w:r>
        <w:t>:</w:t>
      </w:r>
      <w:r>
        <w:t xml:space="preserve"> The definition should include LCAs of products, as such LCAs are acceptable</w:t>
      </w:r>
      <w:r>
        <w:t xml:space="preserve"> and mentioned</w:t>
      </w:r>
      <w:r>
        <w:t xml:space="preserve"> for EC documentation</w:t>
      </w:r>
      <w:r>
        <w:t>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7865C66" w14:textId="5A2B3550" w:rsidR="001B1AFA" w:rsidRPr="006D00C9" w:rsidRDefault="001B1AFA" w:rsidP="001B1AFA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b/>
          <w:bCs/>
          <w:i/>
          <w:iCs/>
          <w:color w:val="FF0000"/>
          <w:u w:val="single"/>
        </w:rPr>
        <w:t>Life</w:t>
      </w:r>
      <w:r w:rsidRPr="006D00C9">
        <w:rPr>
          <w:rFonts w:eastAsiaTheme="minorEastAsia"/>
          <w:color w:val="FF0000"/>
          <w:u w:val="single"/>
        </w:rPr>
        <w:t>-</w:t>
      </w:r>
      <w:r w:rsidRPr="006D00C9">
        <w:rPr>
          <w:rFonts w:eastAsiaTheme="minorEastAsia"/>
          <w:b/>
          <w:bCs/>
          <w:i/>
          <w:iCs/>
          <w:color w:val="FF0000"/>
          <w:u w:val="single"/>
        </w:rPr>
        <w:t>Cycle Assessment (LCA)</w:t>
      </w:r>
      <w:r w:rsidRPr="006D00C9">
        <w:rPr>
          <w:rFonts w:eastAsiaTheme="minorEastAsia"/>
          <w:color w:val="FF0000"/>
          <w:u w:val="single"/>
        </w:rPr>
        <w:t xml:space="preserve"> –The compilation and evaluation of the inputs, outputs, and the potential environmental, social, and economic impacts of an assessed home </w:t>
      </w:r>
      <w:r w:rsidRPr="001B1AFA">
        <w:rPr>
          <w:rFonts w:eastAsiaTheme="minorEastAsia"/>
          <w:color w:val="4C94D8" w:themeColor="text2" w:themeTint="80"/>
          <w:u w:val="single"/>
        </w:rPr>
        <w:t>or product</w:t>
      </w:r>
      <w:r>
        <w:rPr>
          <w:rFonts w:eastAsiaTheme="minorEastAsia"/>
          <w:color w:val="FF0000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>throughout its life cycle, from cradle to grave.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B1AFA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D12AF5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8</cp:revision>
  <dcterms:created xsi:type="dcterms:W3CDTF">2024-08-23T12:43:00Z</dcterms:created>
  <dcterms:modified xsi:type="dcterms:W3CDTF">2025-01-21T16:57:00Z</dcterms:modified>
</cp:coreProperties>
</file>