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467E157" w14:textId="3632A357" w:rsidR="0000630F" w:rsidRDefault="00C80257" w:rsidP="0000630F">
      <w:r>
        <w:t>It is better to use this standard’s benchmark values for products that do not have a product-specific EPD and are not represented in an industry-average EPD</w:t>
      </w:r>
      <w:r w:rsidR="00E06C0B">
        <w:t xml:space="preserve"> in Scenario B.</w:t>
      </w:r>
    </w:p>
    <w:p w14:paraId="40DB5428" w14:textId="647EDF33" w:rsidR="00E06C0B" w:rsidRPr="00BC5044" w:rsidRDefault="00E06C0B" w:rsidP="0000630F">
      <w:r>
        <w:t>Benchmark values are more appropriate when no manufacturer has been indicated in Scenario C.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6422DB7C" w14:textId="77777777" w:rsidR="00C80257" w:rsidRPr="006D00C9" w:rsidRDefault="00C80257" w:rsidP="00C80257">
      <w:pPr>
        <w:rPr>
          <w:rFonts w:eastAsiaTheme="minorEastAsia"/>
          <w:color w:val="FF0000"/>
          <w:u w:val="single"/>
        </w:rPr>
      </w:pPr>
    </w:p>
    <w:p w14:paraId="284B0EE5" w14:textId="77777777" w:rsidR="00C80257" w:rsidRPr="006D00C9" w:rsidRDefault="00C80257" w:rsidP="00C80257">
      <w:pPr>
        <w:pStyle w:val="Caption"/>
        <w:keepNext/>
        <w:rPr>
          <w:color w:val="FF0000"/>
          <w:u w:val="single"/>
        </w:rPr>
      </w:pPr>
      <w:bookmarkStart w:id="0" w:name="_Ref170131337"/>
      <w:r w:rsidRPr="006D00C9">
        <w:rPr>
          <w:color w:val="FF0000"/>
          <w:u w:val="single"/>
        </w:rPr>
        <w:t xml:space="preserve">Table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STYLEREF 2 \s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5.3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>.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SEQ Table \* ARABIC \s 2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2</w:t>
      </w:r>
      <w:r w:rsidRPr="006D00C9">
        <w:rPr>
          <w:color w:val="FF0000"/>
          <w:u w:val="single"/>
        </w:rPr>
        <w:fldChar w:fldCharType="end"/>
      </w:r>
      <w:bookmarkEnd w:id="0"/>
      <w:r w:rsidRPr="006D00C9">
        <w:rPr>
          <w:color w:val="FF0000"/>
          <w:u w:val="single"/>
        </w:rPr>
        <w:t xml:space="preserve"> GWP Data Hierarchy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5964"/>
      </w:tblGrid>
      <w:tr w:rsidR="00C80257" w:rsidRPr="006D00C9" w14:paraId="08C1A711" w14:textId="77777777" w:rsidTr="00085104">
        <w:trPr>
          <w:trHeight w:val="350"/>
        </w:trPr>
        <w:tc>
          <w:tcPr>
            <w:tcW w:w="3386" w:type="dxa"/>
          </w:tcPr>
          <w:p w14:paraId="628741C7" w14:textId="77777777" w:rsidR="00C80257" w:rsidRPr="006D00C9" w:rsidRDefault="00C80257" w:rsidP="00085104">
            <w:pPr>
              <w:rPr>
                <w:rFonts w:eastAsiaTheme="minorEastAsia"/>
                <w:b/>
                <w:bCs/>
                <w:color w:val="FF0000"/>
                <w:u w:val="single"/>
              </w:rPr>
            </w:pPr>
            <w:r w:rsidRPr="006D00C9">
              <w:rPr>
                <w:rFonts w:eastAsiaTheme="minorEastAsia"/>
                <w:b/>
                <w:bCs/>
                <w:color w:val="FF0000"/>
                <w:u w:val="single"/>
              </w:rPr>
              <w:t>Scenario</w:t>
            </w:r>
          </w:p>
        </w:tc>
        <w:tc>
          <w:tcPr>
            <w:tcW w:w="5964" w:type="dxa"/>
          </w:tcPr>
          <w:p w14:paraId="79F36048" w14:textId="77777777" w:rsidR="00C80257" w:rsidRPr="006D00C9" w:rsidRDefault="00C80257" w:rsidP="00085104">
            <w:pPr>
              <w:rPr>
                <w:rFonts w:eastAsiaTheme="minorEastAsia"/>
                <w:b/>
                <w:bCs/>
                <w:color w:val="FF0000"/>
                <w:u w:val="single"/>
              </w:rPr>
            </w:pPr>
            <w:r w:rsidRPr="006D00C9">
              <w:rPr>
                <w:rFonts w:eastAsiaTheme="minorEastAsia"/>
                <w:b/>
                <w:bCs/>
                <w:color w:val="FF0000"/>
                <w:u w:val="single"/>
              </w:rPr>
              <w:t>GWP Factor</w:t>
            </w:r>
          </w:p>
        </w:tc>
      </w:tr>
      <w:tr w:rsidR="00C80257" w:rsidRPr="006D00C9" w14:paraId="2B22B3C7" w14:textId="77777777" w:rsidTr="00085104">
        <w:trPr>
          <w:trHeight w:val="1333"/>
        </w:trPr>
        <w:tc>
          <w:tcPr>
            <w:tcW w:w="3386" w:type="dxa"/>
          </w:tcPr>
          <w:p w14:paraId="0832E2DD" w14:textId="77777777" w:rsidR="00C80257" w:rsidRPr="006D00C9" w:rsidRDefault="00C80257" w:rsidP="00C8025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 xml:space="preserve">When a specific product and manufacturer has been referenced in the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construction documents</w:t>
            </w:r>
          </w:p>
        </w:tc>
        <w:tc>
          <w:tcPr>
            <w:tcW w:w="5964" w:type="dxa"/>
          </w:tcPr>
          <w:p w14:paraId="2335E7CB" w14:textId="77777777" w:rsidR="00C80257" w:rsidRPr="006D00C9" w:rsidRDefault="00C80257" w:rsidP="00C8025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Product-specific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EPD </w:t>
            </w:r>
            <w:r w:rsidRPr="006D00C9">
              <w:rPr>
                <w:rFonts w:eastAsiaTheme="minorEastAsia"/>
                <w:color w:val="FF0000"/>
                <w:u w:val="single"/>
              </w:rPr>
              <w:t>for the specified product</w:t>
            </w:r>
          </w:p>
          <w:p w14:paraId="660A105D" w14:textId="77777777" w:rsidR="00C80257" w:rsidRPr="006D00C9" w:rsidRDefault="00C80257" w:rsidP="00C8025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>LCA for the specified product</w:t>
            </w:r>
          </w:p>
        </w:tc>
      </w:tr>
      <w:tr w:rsidR="00C80257" w:rsidRPr="006D00C9" w14:paraId="1A6FFEC7" w14:textId="77777777" w:rsidTr="00085104">
        <w:trPr>
          <w:trHeight w:val="1333"/>
        </w:trPr>
        <w:tc>
          <w:tcPr>
            <w:tcW w:w="3386" w:type="dxa"/>
          </w:tcPr>
          <w:p w14:paraId="6D5793A9" w14:textId="77777777" w:rsidR="00C80257" w:rsidRPr="006D00C9" w:rsidRDefault="00C80257" w:rsidP="00C80257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 xml:space="preserve">When a specific product and manufacturer has been referenced in the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construction documents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, but no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product specific EPD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 is available</w:t>
            </w:r>
          </w:p>
        </w:tc>
        <w:tc>
          <w:tcPr>
            <w:tcW w:w="5964" w:type="dxa"/>
          </w:tcPr>
          <w:p w14:paraId="53C8A757" w14:textId="12E0FF9F" w:rsidR="00C80257" w:rsidRPr="006D00C9" w:rsidRDefault="00C80257" w:rsidP="00C8025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Industry-average EPD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 for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comparable product type</w:t>
            </w:r>
            <w:r>
              <w:rPr>
                <w:rFonts w:eastAsiaTheme="minorEastAsia"/>
                <w:i/>
                <w:iCs/>
                <w:color w:val="FF0000"/>
                <w:u w:val="single"/>
              </w:rPr>
              <w:t xml:space="preserve"> </w:t>
            </w:r>
            <w:r w:rsidRPr="00C80257">
              <w:rPr>
                <w:rFonts w:eastAsiaTheme="minorEastAsia"/>
                <w:color w:val="000000" w:themeColor="text1"/>
              </w:rPr>
              <w:t>when product manufacturer is listed on the EPD</w:t>
            </w:r>
          </w:p>
          <w:p w14:paraId="53C8927D" w14:textId="77777777" w:rsidR="00C80257" w:rsidRPr="006D00C9" w:rsidRDefault="00C80257" w:rsidP="00C8025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Benchmark </w:t>
            </w:r>
            <w:r w:rsidRPr="006D00C9">
              <w:rPr>
                <w:rFonts w:eastAsiaTheme="minorEastAsia"/>
                <w:color w:val="FF0000"/>
                <w:u w:val="single"/>
              </w:rPr>
              <w:t>value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 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for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comparable product type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 in accordance with section </w:t>
            </w:r>
            <w:r w:rsidRPr="006D00C9">
              <w:rPr>
                <w:rFonts w:eastAsiaTheme="minorEastAsia"/>
                <w:color w:val="FF0000"/>
                <w:u w:val="single"/>
              </w:rPr>
              <w:fldChar w:fldCharType="begin"/>
            </w:r>
            <w:r w:rsidRPr="006D00C9">
              <w:rPr>
                <w:rFonts w:eastAsiaTheme="minorEastAsia"/>
                <w:color w:val="FF0000"/>
                <w:u w:val="single"/>
              </w:rPr>
              <w:instrText xml:space="preserve"> REF _Ref170133940 \r \h  \* MERGEFORMAT </w:instrText>
            </w:r>
            <w:r w:rsidRPr="006D00C9">
              <w:rPr>
                <w:rFonts w:eastAsiaTheme="minorEastAsia"/>
                <w:color w:val="FF0000"/>
                <w:u w:val="single"/>
              </w:rPr>
            </w:r>
            <w:r w:rsidRPr="006D00C9">
              <w:rPr>
                <w:rFonts w:eastAsiaTheme="minorEastAsia"/>
                <w:color w:val="FF0000"/>
                <w:u w:val="single"/>
              </w:rPr>
              <w:fldChar w:fldCharType="separate"/>
            </w:r>
            <w:r w:rsidRPr="006D00C9">
              <w:rPr>
                <w:rFonts w:eastAsiaTheme="minorEastAsia"/>
                <w:color w:val="FF0000"/>
                <w:u w:val="single"/>
              </w:rPr>
              <w:t>5.3.3</w:t>
            </w:r>
            <w:r w:rsidRPr="006D00C9">
              <w:rPr>
                <w:rFonts w:eastAsiaTheme="minorEastAsia"/>
                <w:color w:val="FF0000"/>
                <w:u w:val="single"/>
              </w:rPr>
              <w:fldChar w:fldCharType="end"/>
            </w:r>
            <w:r w:rsidRPr="006D00C9">
              <w:rPr>
                <w:rFonts w:eastAsiaTheme="minorEastAsia"/>
                <w:color w:val="FF0000"/>
                <w:u w:val="single"/>
              </w:rPr>
              <w:t>.</w:t>
            </w:r>
          </w:p>
          <w:p w14:paraId="50A8B61A" w14:textId="77777777" w:rsidR="00C80257" w:rsidRPr="006D00C9" w:rsidRDefault="00C80257" w:rsidP="00C80257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 xml:space="preserve">LCA for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comparable product type</w:t>
            </w:r>
          </w:p>
          <w:p w14:paraId="735EE47A" w14:textId="77777777" w:rsidR="00C80257" w:rsidRPr="006D00C9" w:rsidRDefault="00C80257" w:rsidP="00C80257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>For MEP products, default values from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fldChar w:fldCharType="begin"/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instrText xml:space="preserve"> REF _Ref170133799 \h  \* MERGEFORMAT </w:instrTex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fldChar w:fldCharType="separate"/>
            </w:r>
            <w:r w:rsidRPr="006D00C9">
              <w:rPr>
                <w:color w:val="FF0000"/>
                <w:u w:val="single"/>
              </w:rPr>
              <w:t xml:space="preserve">Table </w:t>
            </w:r>
            <w:r w:rsidRPr="006D00C9">
              <w:rPr>
                <w:noProof/>
                <w:color w:val="FF0000"/>
                <w:u w:val="single"/>
              </w:rPr>
              <w:t>10.1</w:t>
            </w:r>
            <w:r w:rsidRPr="006D00C9">
              <w:rPr>
                <w:color w:val="FF0000"/>
                <w:u w:val="single"/>
              </w:rPr>
              <w:t>.</w:t>
            </w:r>
            <w:r w:rsidRPr="006D00C9">
              <w:rPr>
                <w:noProof/>
                <w:color w:val="FF0000"/>
                <w:u w:val="single"/>
              </w:rPr>
              <w:t>5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fldChar w:fldCharType="end"/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.</w:t>
            </w:r>
          </w:p>
        </w:tc>
      </w:tr>
      <w:tr w:rsidR="00C80257" w:rsidRPr="006D00C9" w14:paraId="1262B417" w14:textId="77777777" w:rsidTr="00085104">
        <w:trPr>
          <w:trHeight w:val="1331"/>
        </w:trPr>
        <w:tc>
          <w:tcPr>
            <w:tcW w:w="3386" w:type="dxa"/>
          </w:tcPr>
          <w:p w14:paraId="558DE5B1" w14:textId="77777777" w:rsidR="00C80257" w:rsidRPr="006D00C9" w:rsidRDefault="00C80257" w:rsidP="00C80257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 xml:space="preserve">When a product type has been indicated in the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construction documents,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 but no specific product and/or manufacturer has been specified</w:t>
            </w:r>
          </w:p>
        </w:tc>
        <w:tc>
          <w:tcPr>
            <w:tcW w:w="5964" w:type="dxa"/>
          </w:tcPr>
          <w:p w14:paraId="3FB1A97E" w14:textId="77777777" w:rsidR="00C80257" w:rsidRPr="00E06C0B" w:rsidRDefault="00C80257" w:rsidP="00C8025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trike/>
                <w:color w:val="000000" w:themeColor="text1"/>
              </w:rPr>
            </w:pPr>
            <w:r w:rsidRPr="00E06C0B">
              <w:rPr>
                <w:rFonts w:eastAsiaTheme="minorEastAsia"/>
                <w:i/>
                <w:iCs/>
                <w:strike/>
                <w:color w:val="000000" w:themeColor="text1"/>
              </w:rPr>
              <w:t>Industry-average EPD</w:t>
            </w:r>
            <w:r w:rsidRPr="00E06C0B">
              <w:rPr>
                <w:rFonts w:eastAsiaTheme="minorEastAsia"/>
                <w:strike/>
                <w:color w:val="000000" w:themeColor="text1"/>
              </w:rPr>
              <w:t xml:space="preserve"> for </w:t>
            </w:r>
            <w:r w:rsidRPr="00E06C0B">
              <w:rPr>
                <w:rFonts w:eastAsiaTheme="minorEastAsia"/>
                <w:i/>
                <w:iCs/>
                <w:strike/>
                <w:color w:val="000000" w:themeColor="text1"/>
              </w:rPr>
              <w:t>comparable product type</w:t>
            </w:r>
          </w:p>
          <w:p w14:paraId="1DC019B9" w14:textId="77777777" w:rsidR="00C80257" w:rsidRPr="006D00C9" w:rsidRDefault="00C80257" w:rsidP="00C8025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Benchmark 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value for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comparable product type</w:t>
            </w:r>
            <w:r w:rsidRPr="006D00C9">
              <w:rPr>
                <w:rFonts w:eastAsiaTheme="minorEastAsia"/>
                <w:color w:val="FF0000"/>
                <w:u w:val="single"/>
              </w:rPr>
              <w:t xml:space="preserve"> in accordance with section </w:t>
            </w:r>
            <w:r w:rsidRPr="006D00C9">
              <w:rPr>
                <w:rFonts w:eastAsiaTheme="minorEastAsia"/>
                <w:color w:val="FF0000"/>
                <w:u w:val="single"/>
              </w:rPr>
              <w:fldChar w:fldCharType="begin"/>
            </w:r>
            <w:r w:rsidRPr="006D00C9">
              <w:rPr>
                <w:rFonts w:eastAsiaTheme="minorEastAsia"/>
                <w:color w:val="FF0000"/>
                <w:u w:val="single"/>
              </w:rPr>
              <w:instrText xml:space="preserve"> REF _Ref170133940 \r \h  \* MERGEFORMAT </w:instrText>
            </w:r>
            <w:r w:rsidRPr="006D00C9">
              <w:rPr>
                <w:rFonts w:eastAsiaTheme="minorEastAsia"/>
                <w:color w:val="FF0000"/>
                <w:u w:val="single"/>
              </w:rPr>
            </w:r>
            <w:r w:rsidRPr="006D00C9">
              <w:rPr>
                <w:rFonts w:eastAsiaTheme="minorEastAsia"/>
                <w:color w:val="FF0000"/>
                <w:u w:val="single"/>
              </w:rPr>
              <w:fldChar w:fldCharType="separate"/>
            </w:r>
            <w:r w:rsidRPr="006D00C9">
              <w:rPr>
                <w:rFonts w:eastAsiaTheme="minorEastAsia"/>
                <w:color w:val="FF0000"/>
                <w:u w:val="single"/>
              </w:rPr>
              <w:t>5.3.3</w:t>
            </w:r>
            <w:r w:rsidRPr="006D00C9">
              <w:rPr>
                <w:rFonts w:eastAsiaTheme="minorEastAsia"/>
                <w:color w:val="FF0000"/>
                <w:u w:val="single"/>
              </w:rPr>
              <w:fldChar w:fldCharType="end"/>
            </w:r>
            <w:r w:rsidRPr="006D00C9">
              <w:rPr>
                <w:rFonts w:eastAsiaTheme="minorEastAsia"/>
                <w:color w:val="FF0000"/>
                <w:u w:val="single"/>
              </w:rPr>
              <w:t>.</w:t>
            </w:r>
          </w:p>
          <w:p w14:paraId="6DA7849A" w14:textId="77777777" w:rsidR="00C80257" w:rsidRPr="006D00C9" w:rsidRDefault="00C80257" w:rsidP="00C80257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 xml:space="preserve">LCA for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comparable product type</w:t>
            </w:r>
          </w:p>
          <w:p w14:paraId="4E970334" w14:textId="77777777" w:rsidR="00C80257" w:rsidRPr="006D00C9" w:rsidRDefault="00C80257" w:rsidP="00C80257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Theme="minorEastAsia"/>
                <w:color w:val="FF0000"/>
                <w:u w:val="single"/>
              </w:rPr>
            </w:pPr>
            <w:r w:rsidRPr="006D00C9">
              <w:rPr>
                <w:rFonts w:eastAsiaTheme="minorEastAsia"/>
                <w:color w:val="FF0000"/>
                <w:u w:val="single"/>
              </w:rPr>
              <w:t>For MEP products, default values from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 xml:space="preserve"> 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fldChar w:fldCharType="begin"/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instrText xml:space="preserve"> REF _Ref170133799 \h  \* MERGEFORMAT </w:instrTex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fldChar w:fldCharType="separate"/>
            </w:r>
            <w:r w:rsidRPr="006D00C9">
              <w:rPr>
                <w:color w:val="FF0000"/>
                <w:u w:val="single"/>
              </w:rPr>
              <w:t xml:space="preserve">Table </w:t>
            </w:r>
            <w:r w:rsidRPr="006D00C9">
              <w:rPr>
                <w:noProof/>
                <w:color w:val="FF0000"/>
                <w:u w:val="single"/>
              </w:rPr>
              <w:t>10.1</w:t>
            </w:r>
            <w:r w:rsidRPr="006D00C9">
              <w:rPr>
                <w:color w:val="FF0000"/>
                <w:u w:val="single"/>
              </w:rPr>
              <w:t>.</w:t>
            </w:r>
            <w:r w:rsidRPr="006D00C9">
              <w:rPr>
                <w:noProof/>
                <w:color w:val="FF0000"/>
                <w:u w:val="single"/>
              </w:rPr>
              <w:t>5</w:t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fldChar w:fldCharType="end"/>
            </w:r>
            <w:r w:rsidRPr="006D00C9">
              <w:rPr>
                <w:rFonts w:eastAsiaTheme="minorEastAsia"/>
                <w:i/>
                <w:iCs/>
                <w:color w:val="FF0000"/>
                <w:u w:val="single"/>
              </w:rPr>
              <w:t>.</w:t>
            </w:r>
          </w:p>
        </w:tc>
      </w:tr>
    </w:tbl>
    <w:p w14:paraId="7DD8A835" w14:textId="098C3D93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58D0" w14:textId="77777777" w:rsidR="00C76901" w:rsidRDefault="00C76901" w:rsidP="00237923">
      <w:pPr>
        <w:spacing w:after="0" w:line="240" w:lineRule="auto"/>
      </w:pPr>
      <w:r>
        <w:separator/>
      </w:r>
    </w:p>
  </w:endnote>
  <w:endnote w:type="continuationSeparator" w:id="0">
    <w:p w14:paraId="7CD76C6A" w14:textId="77777777" w:rsidR="00C76901" w:rsidRDefault="00C76901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C060" w14:textId="77777777" w:rsidR="00C76901" w:rsidRDefault="00C76901" w:rsidP="00237923">
      <w:pPr>
        <w:spacing w:after="0" w:line="240" w:lineRule="auto"/>
      </w:pPr>
      <w:r>
        <w:separator/>
      </w:r>
    </w:p>
  </w:footnote>
  <w:footnote w:type="continuationSeparator" w:id="0">
    <w:p w14:paraId="73C1DCA9" w14:textId="77777777" w:rsidR="00C76901" w:rsidRDefault="00C76901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BF97"/>
    <w:multiLevelType w:val="hybridMultilevel"/>
    <w:tmpl w:val="98965A04"/>
    <w:lvl w:ilvl="0" w:tplc="D0F29002">
      <w:start w:val="1"/>
      <w:numFmt w:val="lowerRoman"/>
      <w:lvlText w:val="%1."/>
      <w:lvlJc w:val="right"/>
      <w:pPr>
        <w:ind w:left="720" w:hanging="360"/>
      </w:pPr>
    </w:lvl>
    <w:lvl w:ilvl="1" w:tplc="18944214">
      <w:start w:val="1"/>
      <w:numFmt w:val="lowerLetter"/>
      <w:lvlText w:val="%2."/>
      <w:lvlJc w:val="left"/>
      <w:pPr>
        <w:ind w:left="1440" w:hanging="360"/>
      </w:pPr>
    </w:lvl>
    <w:lvl w:ilvl="2" w:tplc="647451EE">
      <w:start w:val="1"/>
      <w:numFmt w:val="lowerRoman"/>
      <w:lvlText w:val="%3."/>
      <w:lvlJc w:val="right"/>
      <w:pPr>
        <w:ind w:left="2160" w:hanging="180"/>
      </w:pPr>
    </w:lvl>
    <w:lvl w:ilvl="3" w:tplc="78B05B1E">
      <w:start w:val="1"/>
      <w:numFmt w:val="decimal"/>
      <w:lvlText w:val="%4."/>
      <w:lvlJc w:val="left"/>
      <w:pPr>
        <w:ind w:left="2880" w:hanging="360"/>
      </w:pPr>
    </w:lvl>
    <w:lvl w:ilvl="4" w:tplc="22545FFE">
      <w:start w:val="1"/>
      <w:numFmt w:val="lowerLetter"/>
      <w:lvlText w:val="%5."/>
      <w:lvlJc w:val="left"/>
      <w:pPr>
        <w:ind w:left="3600" w:hanging="360"/>
      </w:pPr>
    </w:lvl>
    <w:lvl w:ilvl="5" w:tplc="F202B8B4">
      <w:start w:val="1"/>
      <w:numFmt w:val="lowerRoman"/>
      <w:lvlText w:val="%6."/>
      <w:lvlJc w:val="right"/>
      <w:pPr>
        <w:ind w:left="4320" w:hanging="180"/>
      </w:pPr>
    </w:lvl>
    <w:lvl w:ilvl="6" w:tplc="847CF3AE">
      <w:start w:val="1"/>
      <w:numFmt w:val="decimal"/>
      <w:lvlText w:val="%7."/>
      <w:lvlJc w:val="left"/>
      <w:pPr>
        <w:ind w:left="5040" w:hanging="360"/>
      </w:pPr>
    </w:lvl>
    <w:lvl w:ilvl="7" w:tplc="020256BC">
      <w:start w:val="1"/>
      <w:numFmt w:val="lowerLetter"/>
      <w:lvlText w:val="%8."/>
      <w:lvlJc w:val="left"/>
      <w:pPr>
        <w:ind w:left="5760" w:hanging="360"/>
      </w:pPr>
    </w:lvl>
    <w:lvl w:ilvl="8" w:tplc="CFFEF7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EF216"/>
    <w:multiLevelType w:val="hybridMultilevel"/>
    <w:tmpl w:val="0AA6D4D6"/>
    <w:lvl w:ilvl="0" w:tplc="B7B893AA">
      <w:start w:val="1"/>
      <w:numFmt w:val="lowerRoman"/>
      <w:lvlText w:val="%1."/>
      <w:lvlJc w:val="right"/>
      <w:pPr>
        <w:ind w:left="720" w:hanging="360"/>
      </w:pPr>
    </w:lvl>
    <w:lvl w:ilvl="1" w:tplc="48D0D13A">
      <w:start w:val="1"/>
      <w:numFmt w:val="lowerLetter"/>
      <w:lvlText w:val="%2."/>
      <w:lvlJc w:val="left"/>
      <w:pPr>
        <w:ind w:left="1440" w:hanging="360"/>
      </w:pPr>
    </w:lvl>
    <w:lvl w:ilvl="2" w:tplc="29A05464">
      <w:start w:val="1"/>
      <w:numFmt w:val="lowerRoman"/>
      <w:lvlText w:val="%3."/>
      <w:lvlJc w:val="right"/>
      <w:pPr>
        <w:ind w:left="2160" w:hanging="180"/>
      </w:pPr>
    </w:lvl>
    <w:lvl w:ilvl="3" w:tplc="0D2006B6">
      <w:start w:val="1"/>
      <w:numFmt w:val="decimal"/>
      <w:lvlText w:val="%4."/>
      <w:lvlJc w:val="left"/>
      <w:pPr>
        <w:ind w:left="2880" w:hanging="360"/>
      </w:pPr>
    </w:lvl>
    <w:lvl w:ilvl="4" w:tplc="B6600836">
      <w:start w:val="1"/>
      <w:numFmt w:val="lowerLetter"/>
      <w:lvlText w:val="%5."/>
      <w:lvlJc w:val="left"/>
      <w:pPr>
        <w:ind w:left="3600" w:hanging="360"/>
      </w:pPr>
    </w:lvl>
    <w:lvl w:ilvl="5" w:tplc="5CF83244">
      <w:start w:val="1"/>
      <w:numFmt w:val="lowerRoman"/>
      <w:lvlText w:val="%6."/>
      <w:lvlJc w:val="right"/>
      <w:pPr>
        <w:ind w:left="4320" w:hanging="180"/>
      </w:pPr>
    </w:lvl>
    <w:lvl w:ilvl="6" w:tplc="E0AEF134">
      <w:start w:val="1"/>
      <w:numFmt w:val="decimal"/>
      <w:lvlText w:val="%7."/>
      <w:lvlJc w:val="left"/>
      <w:pPr>
        <w:ind w:left="5040" w:hanging="360"/>
      </w:pPr>
    </w:lvl>
    <w:lvl w:ilvl="7" w:tplc="F14A61CE">
      <w:start w:val="1"/>
      <w:numFmt w:val="lowerLetter"/>
      <w:lvlText w:val="%8."/>
      <w:lvlJc w:val="left"/>
      <w:pPr>
        <w:ind w:left="5760" w:hanging="360"/>
      </w:pPr>
    </w:lvl>
    <w:lvl w:ilvl="8" w:tplc="845C44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2C7C"/>
    <w:multiLevelType w:val="hybridMultilevel"/>
    <w:tmpl w:val="859C2FB8"/>
    <w:lvl w:ilvl="0" w:tplc="335246AC">
      <w:start w:val="1"/>
      <w:numFmt w:val="upperLetter"/>
      <w:lvlText w:val="%1."/>
      <w:lvlJc w:val="left"/>
      <w:pPr>
        <w:ind w:left="360" w:hanging="360"/>
      </w:pPr>
    </w:lvl>
    <w:lvl w:ilvl="1" w:tplc="9C2CCE34">
      <w:start w:val="1"/>
      <w:numFmt w:val="lowerLetter"/>
      <w:lvlText w:val="%2."/>
      <w:lvlJc w:val="left"/>
      <w:pPr>
        <w:ind w:left="1080" w:hanging="360"/>
      </w:pPr>
    </w:lvl>
    <w:lvl w:ilvl="2" w:tplc="50121CE4">
      <w:start w:val="1"/>
      <w:numFmt w:val="lowerRoman"/>
      <w:lvlText w:val="%3."/>
      <w:lvlJc w:val="right"/>
      <w:pPr>
        <w:ind w:left="1800" w:hanging="180"/>
      </w:pPr>
    </w:lvl>
    <w:lvl w:ilvl="3" w:tplc="CBFAEE6E">
      <w:start w:val="1"/>
      <w:numFmt w:val="decimal"/>
      <w:lvlText w:val="%4."/>
      <w:lvlJc w:val="left"/>
      <w:pPr>
        <w:ind w:left="2520" w:hanging="360"/>
      </w:pPr>
    </w:lvl>
    <w:lvl w:ilvl="4" w:tplc="7FE2718A">
      <w:start w:val="1"/>
      <w:numFmt w:val="lowerLetter"/>
      <w:lvlText w:val="%5."/>
      <w:lvlJc w:val="left"/>
      <w:pPr>
        <w:ind w:left="3240" w:hanging="360"/>
      </w:pPr>
    </w:lvl>
    <w:lvl w:ilvl="5" w:tplc="5BAC422A">
      <w:start w:val="1"/>
      <w:numFmt w:val="lowerRoman"/>
      <w:lvlText w:val="%6."/>
      <w:lvlJc w:val="right"/>
      <w:pPr>
        <w:ind w:left="3960" w:hanging="180"/>
      </w:pPr>
    </w:lvl>
    <w:lvl w:ilvl="6" w:tplc="A58A2A70">
      <w:start w:val="1"/>
      <w:numFmt w:val="decimal"/>
      <w:lvlText w:val="%7."/>
      <w:lvlJc w:val="left"/>
      <w:pPr>
        <w:ind w:left="4680" w:hanging="360"/>
      </w:pPr>
    </w:lvl>
    <w:lvl w:ilvl="7" w:tplc="878CA0EC">
      <w:start w:val="1"/>
      <w:numFmt w:val="lowerLetter"/>
      <w:lvlText w:val="%8."/>
      <w:lvlJc w:val="left"/>
      <w:pPr>
        <w:ind w:left="5400" w:hanging="360"/>
      </w:pPr>
    </w:lvl>
    <w:lvl w:ilvl="8" w:tplc="30A8FAD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4D6E1"/>
    <w:multiLevelType w:val="hybridMultilevel"/>
    <w:tmpl w:val="80AE3758"/>
    <w:lvl w:ilvl="0" w:tplc="7B141CBC">
      <w:start w:val="1"/>
      <w:numFmt w:val="lowerRoman"/>
      <w:lvlText w:val="%1."/>
      <w:lvlJc w:val="right"/>
      <w:pPr>
        <w:ind w:left="720" w:hanging="360"/>
      </w:pPr>
    </w:lvl>
    <w:lvl w:ilvl="1" w:tplc="A210E828">
      <w:start w:val="1"/>
      <w:numFmt w:val="lowerLetter"/>
      <w:lvlText w:val="%2."/>
      <w:lvlJc w:val="left"/>
      <w:pPr>
        <w:ind w:left="1440" w:hanging="360"/>
      </w:pPr>
    </w:lvl>
    <w:lvl w:ilvl="2" w:tplc="D9A8A4BC">
      <w:start w:val="1"/>
      <w:numFmt w:val="lowerRoman"/>
      <w:lvlText w:val="%3."/>
      <w:lvlJc w:val="right"/>
      <w:pPr>
        <w:ind w:left="2160" w:hanging="180"/>
      </w:pPr>
    </w:lvl>
    <w:lvl w:ilvl="3" w:tplc="42A4F0B6">
      <w:start w:val="1"/>
      <w:numFmt w:val="decimal"/>
      <w:lvlText w:val="%4."/>
      <w:lvlJc w:val="left"/>
      <w:pPr>
        <w:ind w:left="2880" w:hanging="360"/>
      </w:pPr>
    </w:lvl>
    <w:lvl w:ilvl="4" w:tplc="3B06BC40">
      <w:start w:val="1"/>
      <w:numFmt w:val="lowerLetter"/>
      <w:lvlText w:val="%5."/>
      <w:lvlJc w:val="left"/>
      <w:pPr>
        <w:ind w:left="3600" w:hanging="360"/>
      </w:pPr>
    </w:lvl>
    <w:lvl w:ilvl="5" w:tplc="6960F95A">
      <w:start w:val="1"/>
      <w:numFmt w:val="lowerRoman"/>
      <w:lvlText w:val="%6."/>
      <w:lvlJc w:val="right"/>
      <w:pPr>
        <w:ind w:left="4320" w:hanging="180"/>
      </w:pPr>
    </w:lvl>
    <w:lvl w:ilvl="6" w:tplc="76FAB298">
      <w:start w:val="1"/>
      <w:numFmt w:val="decimal"/>
      <w:lvlText w:val="%7."/>
      <w:lvlJc w:val="left"/>
      <w:pPr>
        <w:ind w:left="5040" w:hanging="360"/>
      </w:pPr>
    </w:lvl>
    <w:lvl w:ilvl="7" w:tplc="2496D338">
      <w:start w:val="1"/>
      <w:numFmt w:val="lowerLetter"/>
      <w:lvlText w:val="%8."/>
      <w:lvlJc w:val="left"/>
      <w:pPr>
        <w:ind w:left="5760" w:hanging="360"/>
      </w:pPr>
    </w:lvl>
    <w:lvl w:ilvl="8" w:tplc="A52AC3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0352A"/>
    <w:multiLevelType w:val="hybridMultilevel"/>
    <w:tmpl w:val="033A1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2660">
    <w:abstractNumId w:val="4"/>
  </w:num>
  <w:num w:numId="2" w16cid:durableId="1259292676">
    <w:abstractNumId w:val="2"/>
  </w:num>
  <w:num w:numId="3" w16cid:durableId="805660714">
    <w:abstractNumId w:val="0"/>
  </w:num>
  <w:num w:numId="4" w16cid:durableId="731078519">
    <w:abstractNumId w:val="1"/>
  </w:num>
  <w:num w:numId="5" w16cid:durableId="194827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2E5360"/>
    <w:rsid w:val="003725DF"/>
    <w:rsid w:val="004C278B"/>
    <w:rsid w:val="0050064C"/>
    <w:rsid w:val="00553D0D"/>
    <w:rsid w:val="005C1477"/>
    <w:rsid w:val="008C2F70"/>
    <w:rsid w:val="00962624"/>
    <w:rsid w:val="00A12BEA"/>
    <w:rsid w:val="00A519E2"/>
    <w:rsid w:val="00A733AE"/>
    <w:rsid w:val="00AB6728"/>
    <w:rsid w:val="00BC5044"/>
    <w:rsid w:val="00C76901"/>
    <w:rsid w:val="00C80257"/>
    <w:rsid w:val="00C96CBF"/>
    <w:rsid w:val="00CF289A"/>
    <w:rsid w:val="00D824DE"/>
    <w:rsid w:val="00E06C0B"/>
    <w:rsid w:val="00EB1077"/>
    <w:rsid w:val="00F30C7D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C96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C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025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80257"/>
    <w:pPr>
      <w:spacing w:after="200" w:line="240" w:lineRule="auto"/>
    </w:pPr>
    <w:rPr>
      <w:rFonts w:ascii="Source Sans Pro" w:hAnsi="Source Sans Pro"/>
      <w:i/>
      <w:iCs/>
      <w:color w:val="000000" w:themeColor="text1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Chris Magwood</cp:lastModifiedBy>
  <cp:revision>4</cp:revision>
  <dcterms:created xsi:type="dcterms:W3CDTF">2025-01-13T19:46:00Z</dcterms:created>
  <dcterms:modified xsi:type="dcterms:W3CDTF">2025-01-13T19:57:00Z</dcterms:modified>
</cp:coreProperties>
</file>