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E5EB6" w14:textId="6DBE925A" w:rsidR="00237923" w:rsidRDefault="00237923" w:rsidP="007F2356"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</w:rPr>
        <w:t>Include your justification for your proposed change to the draft standard</w:t>
      </w:r>
      <w:r w:rsidR="005C1477">
        <w:rPr>
          <w:i/>
          <w:iCs/>
        </w:rPr>
        <w:t xml:space="preserve"> below.</w:t>
      </w:r>
      <w:r w:rsidR="0000630F">
        <w:br/>
        <w:t>_________________________________________________________________________________________</w:t>
      </w:r>
    </w:p>
    <w:p w14:paraId="58F2615F" w14:textId="62A4ADE1" w:rsidR="0000630F" w:rsidRDefault="001B0120" w:rsidP="007F2356">
      <w:r>
        <w:t>In the provided definition</w:t>
      </w:r>
      <w:r w:rsidR="00096F71">
        <w:t xml:space="preserve"> for </w:t>
      </w:r>
      <w:r w:rsidR="00096F71" w:rsidRPr="37FE3990">
        <w:rPr>
          <w:i/>
          <w:iCs/>
        </w:rPr>
        <w:t>Embodied Carbon</w:t>
      </w:r>
      <w:r>
        <w:t xml:space="preserve">, the first </w:t>
      </w:r>
      <w:r w:rsidR="00096F71">
        <w:t>sentences</w:t>
      </w:r>
      <w:r w:rsidR="135428CC">
        <w:t xml:space="preserve"> claims the terms applies to the “life cycle” </w:t>
      </w:r>
      <w:r w:rsidR="00E841FA">
        <w:t xml:space="preserve">of </w:t>
      </w:r>
      <w:r w:rsidR="55E3CAF4">
        <w:t>b</w:t>
      </w:r>
      <w:r>
        <w:t>uilding products</w:t>
      </w:r>
      <w:r w:rsidR="4C206C1D">
        <w:t xml:space="preserve">, which implies </w:t>
      </w:r>
      <w:r w:rsidR="00E841FA">
        <w:t xml:space="preserve">the analysis covers all of </w:t>
      </w:r>
      <w:r w:rsidR="4C206C1D">
        <w:t xml:space="preserve"> life cycle stages. The term is then qualified to include selected life cycle stages only. This is not consistent with industry standards. Life cycle assessments are typically Crad</w:t>
      </w:r>
      <w:r w:rsidR="719A28AE">
        <w:t>le to Gate</w:t>
      </w:r>
      <w:r w:rsidR="00E841FA">
        <w:t xml:space="preserve"> or Cradle to Grave. The document currently cherry picks information to be included and excluded from the analysis, which</w:t>
      </w:r>
      <w:r w:rsidR="719A28AE">
        <w:t xml:space="preserve"> </w:t>
      </w:r>
      <w:r w:rsidR="005505D0">
        <w:t>c</w:t>
      </w:r>
      <w:r w:rsidR="00BE2AAA">
        <w:t>reates a misleading</w:t>
      </w:r>
      <w:r w:rsidR="00464596">
        <w:t xml:space="preserve"> assessment</w:t>
      </w:r>
      <w:r w:rsidR="003D6CB8">
        <w:t xml:space="preserve"> and punishes some building products</w:t>
      </w:r>
      <w:r w:rsidR="00A269BF">
        <w:t xml:space="preserve"> (not giving credit for operational</w:t>
      </w:r>
      <w:r w:rsidR="005505D0">
        <w:t xml:space="preserve"> carbon</w:t>
      </w:r>
      <w:r w:rsidR="00A269BF">
        <w:t xml:space="preserve"> savings)</w:t>
      </w:r>
      <w:r w:rsidR="003D6CB8">
        <w:t xml:space="preserve"> while</w:t>
      </w:r>
      <w:r w:rsidR="005B4C20">
        <w:t xml:space="preserve"> saving others</w:t>
      </w:r>
      <w:r w:rsidR="00A269BF">
        <w:t xml:space="preserve"> (not</w:t>
      </w:r>
      <w:r w:rsidR="00DE4A92">
        <w:t xml:space="preserve"> including known future replacements)</w:t>
      </w:r>
      <w:r w:rsidR="005B4C20">
        <w:t>.</w:t>
      </w:r>
      <w:r w:rsidR="00A50BA4">
        <w:t xml:space="preserve"> Further, by only including A1 through A3</w:t>
      </w:r>
      <w:r w:rsidR="00E149CB">
        <w:t>, the “carbon</w:t>
      </w:r>
      <w:r w:rsidR="007D44CE">
        <w:t xml:space="preserve"> </w:t>
      </w:r>
      <w:r w:rsidR="00E149CB">
        <w:t xml:space="preserve">up-front </w:t>
      </w:r>
      <w:r w:rsidR="007D44CE">
        <w:t>costs”</w:t>
      </w:r>
      <w:r w:rsidR="00A50BA4">
        <w:t xml:space="preserve">, we are </w:t>
      </w:r>
      <w:r w:rsidR="004B65CD">
        <w:t xml:space="preserve">benefiting the </w:t>
      </w:r>
      <w:r w:rsidR="3D214F8B">
        <w:t xml:space="preserve">builders </w:t>
      </w:r>
      <w:r w:rsidR="004B65CD">
        <w:t>while possibly harming</w:t>
      </w:r>
      <w:r w:rsidR="00C1045E">
        <w:t xml:space="preserve">, over a very long term, </w:t>
      </w:r>
      <w:r w:rsidR="004B65CD">
        <w:t xml:space="preserve">the owners, operators, </w:t>
      </w:r>
      <w:r w:rsidR="00E149CB">
        <w:t xml:space="preserve">and inhabitant </w:t>
      </w:r>
      <w:r w:rsidR="007D44CE">
        <w:t xml:space="preserve">because we are </w:t>
      </w:r>
      <w:r w:rsidR="00E841FA">
        <w:t xml:space="preserve">excluding the benefits of a reduction in </w:t>
      </w:r>
      <w:r w:rsidR="007D44CE">
        <w:t xml:space="preserve">the </w:t>
      </w:r>
      <w:r w:rsidR="00951A06">
        <w:t xml:space="preserve">operational carbon </w:t>
      </w:r>
      <w:r w:rsidR="00307FBF">
        <w:t>savings</w:t>
      </w:r>
      <w:r w:rsidR="00951A06">
        <w:t>.</w:t>
      </w:r>
      <w:r w:rsidR="00350F7D">
        <w:t xml:space="preserve"> The definition does not</w:t>
      </w:r>
      <w:r w:rsidR="00BB7C36">
        <w:t xml:space="preserve"> include “carbon storage”</w:t>
      </w:r>
      <w:r w:rsidR="00B949A9">
        <w:t xml:space="preserve"> yet it is included in the assessment.</w:t>
      </w:r>
    </w:p>
    <w:p w14:paraId="118FD28D" w14:textId="5EF1EAF9" w:rsidR="00E841FA" w:rsidRDefault="008E07F8" w:rsidP="007F2356">
      <w:r>
        <w:t xml:space="preserve">The primary role of </w:t>
      </w:r>
      <w:r w:rsidR="002B31A9">
        <w:t>t</w:t>
      </w:r>
      <w:r w:rsidR="00020D5D">
        <w:t>hermal i</w:t>
      </w:r>
      <w:r w:rsidR="004F566D">
        <w:t xml:space="preserve">nsulation </w:t>
      </w:r>
      <w:r w:rsidR="00CC17E9">
        <w:t xml:space="preserve">is </w:t>
      </w:r>
      <w:r w:rsidR="004F566D">
        <w:t xml:space="preserve">to increase the energy efficiency of a building </w:t>
      </w:r>
      <w:r w:rsidR="00020D5D">
        <w:t>that</w:t>
      </w:r>
      <w:r w:rsidR="004F566D">
        <w:t xml:space="preserve"> reduces the operational carbon</w:t>
      </w:r>
      <w:r w:rsidR="00227748">
        <w:t xml:space="preserve"> for the lifetime of the building.</w:t>
      </w:r>
      <w:r w:rsidR="00F73DC1">
        <w:t xml:space="preserve"> When compared</w:t>
      </w:r>
      <w:r w:rsidR="00100F4C">
        <w:t xml:space="preserve"> to a building with zero insulation, the</w:t>
      </w:r>
      <w:r w:rsidR="008B4EDC" w:rsidDel="008B4EDC">
        <w:t xml:space="preserve"> </w:t>
      </w:r>
      <w:r w:rsidR="00030DAD">
        <w:t xml:space="preserve">energy </w:t>
      </w:r>
      <w:r w:rsidR="00CB6964">
        <w:t>saved,</w:t>
      </w:r>
      <w:r w:rsidR="00030DAD">
        <w:t xml:space="preserve"> and the operational carbon saved is a direct</w:t>
      </w:r>
      <w:r w:rsidR="0034768C">
        <w:t xml:space="preserve"> result of its primary</w:t>
      </w:r>
      <w:r w:rsidR="00954477">
        <w:t xml:space="preserve"> role of thermal insulation and should be included</w:t>
      </w:r>
      <w:r w:rsidR="00FD1F18">
        <w:t xml:space="preserve"> in the analysis.</w:t>
      </w:r>
      <w:r w:rsidR="00030DAD">
        <w:t xml:space="preserve"> </w:t>
      </w:r>
      <w:r w:rsidR="00E328EA">
        <w:t xml:space="preserve">Though small, this savings should also benefit other </w:t>
      </w:r>
      <w:r w:rsidR="0044649F">
        <w:t>products like Drywall</w:t>
      </w:r>
      <w:r w:rsidR="00BB7C36">
        <w:t xml:space="preserve">, </w:t>
      </w:r>
      <w:r w:rsidR="0044649F">
        <w:t>wood sheathing</w:t>
      </w:r>
      <w:r w:rsidR="00BB7C36">
        <w:t xml:space="preserve">, </w:t>
      </w:r>
      <w:r w:rsidR="000B6840">
        <w:t xml:space="preserve">and </w:t>
      </w:r>
      <w:r w:rsidR="00BB7C36">
        <w:t>some claddings</w:t>
      </w:r>
      <w:r w:rsidR="0044649F">
        <w:t xml:space="preserve"> as they are included in the envelope thermal envelope.</w:t>
      </w:r>
      <w:r w:rsidR="00884E59">
        <w:t xml:space="preserve"> </w:t>
      </w:r>
      <w:r w:rsidR="0009232F">
        <w:t>In the</w:t>
      </w:r>
      <w:r w:rsidR="00884E59">
        <w:t xml:space="preserve"> </w:t>
      </w:r>
      <w:r w:rsidR="00A461A4">
        <w:t xml:space="preserve">paper, The Effect of Varying Levels of Insulation on Total Carbon, </w:t>
      </w:r>
      <w:hyperlink r:id="rId10" w:history="1">
        <w:r w:rsidR="00A461A4" w:rsidRPr="00C164D1">
          <w:rPr>
            <w:rStyle w:val="Hyperlink"/>
          </w:rPr>
          <w:t>KPMB Architects</w:t>
        </w:r>
      </w:hyperlink>
      <w:r w:rsidR="00572131">
        <w:t>, May 2021 shows that most insulation</w:t>
      </w:r>
      <w:r w:rsidR="00A92E15">
        <w:t xml:space="preserve"> </w:t>
      </w:r>
      <w:r w:rsidR="00A71381">
        <w:t xml:space="preserve">has a carbon payback, in a Natural Gas Heating </w:t>
      </w:r>
      <w:r w:rsidR="004B5E6B">
        <w:t>Scenario, of less than two years.</w:t>
      </w:r>
      <w:r w:rsidR="00E841FA">
        <w:t xml:space="preserve"> </w:t>
      </w:r>
    </w:p>
    <w:p w14:paraId="6A27A882" w14:textId="7B78D76A" w:rsidR="00E841FA" w:rsidRDefault="00E841FA" w:rsidP="007F2356">
      <w:r>
        <w:t xml:space="preserve">If a product improves or reduces the lifetime operational carbon either account for the carbon savings or do not account for those products in the up-front carbon estimate. If carbon saving is not accounted for, eliminate carbon storage as well. </w:t>
      </w:r>
      <w:r w:rsidR="00433F5C">
        <w:t>i</w:t>
      </w:r>
      <w:r w:rsidR="00B226CC">
        <w:t xml:space="preserve">f this document can account for “carbon storage” it can account for </w:t>
      </w:r>
      <w:r w:rsidR="00C62BE7">
        <w:t xml:space="preserve">operation </w:t>
      </w:r>
      <w:r w:rsidR="00B226CC">
        <w:t>carbon savings.</w:t>
      </w:r>
      <w:r>
        <w:t xml:space="preserve"> </w:t>
      </w:r>
    </w:p>
    <w:p w14:paraId="5715B31A" w14:textId="0A2D2A14" w:rsidR="00E841FA" w:rsidRPr="007F2356" w:rsidRDefault="00E841FA" w:rsidP="00E841FA">
      <w:r>
        <w:t>The document as currently drafted has other shortcomings in terms of assessing the life cycle impacts of buildings and designs. For example, products that have a projected service life that is less than the building  service life will need to be replaced. Therefore, the analysis shall include the estimated quantity of replacements or a factor based on the number of times the equipment is expected. If not included, the carbon costs are then heaved upon the owner or operator of the building.</w:t>
      </w:r>
    </w:p>
    <w:p w14:paraId="7610EA86" w14:textId="3AE5F928" w:rsidR="00BB4F91" w:rsidRDefault="00E841FA" w:rsidP="007F2356">
      <w:r>
        <w:t xml:space="preserve">Overall, the accuracy of the document would be improved if it moved in the direction of whole building life cycle assessment and required the consideration of Cradle-to-Grave impacts for included materials. </w:t>
      </w:r>
    </w:p>
    <w:p w14:paraId="3ADFCCE6" w14:textId="77777777" w:rsidR="000E18FA" w:rsidRDefault="0000630F" w:rsidP="007F2356"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t xml:space="preserve">Use “strikethrough” and “underline” formatting to indicate all proposed changes. </w:t>
      </w:r>
      <w:r w:rsidR="00001E7A">
        <w:t>Changes must be shown with</w:t>
      </w:r>
      <w:r w:rsidR="00A519E2">
        <w:t xml:space="preserve"> “hard-formatting” strikethrough and underline, </w:t>
      </w:r>
      <w:r w:rsidR="00A519E2">
        <w:rPr>
          <w:u w:val="single"/>
        </w:rPr>
        <w:t>not</w:t>
      </w:r>
      <w:r w:rsidR="00A519E2">
        <w:t xml:space="preserve"> “track changes”.</w:t>
      </w:r>
      <w:r w:rsidR="000E18FA">
        <w:t xml:space="preserve"> </w:t>
      </w:r>
    </w:p>
    <w:p w14:paraId="00BA7E5F" w14:textId="03DC4B5C" w:rsidR="0000630F" w:rsidRPr="0000630F" w:rsidRDefault="00255E22" w:rsidP="007F2356">
      <w:r>
        <w:rPr>
          <w:i/>
          <w:iCs/>
        </w:rPr>
        <w:t>Use</w:t>
      </w:r>
      <w:r w:rsidR="000E18FA">
        <w:rPr>
          <w:i/>
          <w:iCs/>
        </w:rPr>
        <w:t xml:space="preserve"> a color other than red to indicate proposed changes</w:t>
      </w:r>
      <w:r>
        <w:rPr>
          <w:i/>
          <w:iCs/>
        </w:rPr>
        <w:t xml:space="preserve"> to the draft.</w:t>
      </w:r>
      <w:r w:rsidR="0000630F">
        <w:rPr>
          <w:i/>
          <w:iCs/>
        </w:rPr>
        <w:br/>
      </w:r>
      <w:r w:rsidR="0000630F">
        <w:t>____________________________________________________________________________________________</w:t>
      </w:r>
    </w:p>
    <w:p w14:paraId="35E26E09" w14:textId="74433B17" w:rsidR="001B0120" w:rsidRDefault="001B0120" w:rsidP="007F2356">
      <w:r w:rsidRPr="001B0120">
        <w:t>3</w:t>
      </w:r>
      <w:r w:rsidRPr="001B0120">
        <w:tab/>
        <w:t>Definitions</w:t>
      </w:r>
    </w:p>
    <w:p w14:paraId="7DD8A835" w14:textId="0917266E" w:rsidR="0000630F" w:rsidRDefault="00595652" w:rsidP="007F2356">
      <w:pPr>
        <w:rPr>
          <w:u w:val="single"/>
        </w:rPr>
      </w:pPr>
      <w:r w:rsidRPr="005505D0">
        <w:rPr>
          <w:color w:val="FF0000"/>
          <w:highlight w:val="yellow"/>
          <w:u w:val="single"/>
        </w:rPr>
        <w:t>Modified</w:t>
      </w:r>
      <w:r w:rsidRPr="005505D0">
        <w:rPr>
          <w:color w:val="FF0000"/>
        </w:rPr>
        <w:t xml:space="preserve"> </w:t>
      </w:r>
      <w:r w:rsidR="005505D0" w:rsidRPr="005505D0">
        <w:t xml:space="preserve">Embodied Carbon – The greenhouse gas emissions associated with the life cycle of </w:t>
      </w:r>
      <w:r w:rsidR="005505D0" w:rsidRPr="005505D0">
        <w:rPr>
          <w:color w:val="FF0000"/>
          <w:highlight w:val="yellow"/>
          <w:u w:val="single"/>
        </w:rPr>
        <w:t>limited</w:t>
      </w:r>
      <w:r w:rsidR="005505D0" w:rsidRPr="005505D0">
        <w:rPr>
          <w:color w:val="FF0000"/>
        </w:rPr>
        <w:t xml:space="preserve"> </w:t>
      </w:r>
      <w:r w:rsidR="005505D0" w:rsidRPr="005505D0">
        <w:t>building products. For the purposes of this Standard, Embodied Carbon refers</w:t>
      </w:r>
      <w:r w:rsidR="005505D0">
        <w:t xml:space="preserve"> </w:t>
      </w:r>
      <w:r w:rsidR="005505D0" w:rsidRPr="005505D0">
        <w:rPr>
          <w:color w:val="FF0000"/>
          <w:highlight w:val="yellow"/>
          <w:u w:val="single"/>
        </w:rPr>
        <w:t xml:space="preserve">to Cradle-to-Grave whole-building life </w:t>
      </w:r>
      <w:r w:rsidR="005505D0" w:rsidRPr="005505D0">
        <w:rPr>
          <w:color w:val="FF0000"/>
          <w:highlight w:val="yellow"/>
          <w:u w:val="single"/>
        </w:rPr>
        <w:lastRenderedPageBreak/>
        <w:t xml:space="preserve">cycle analysis with the </w:t>
      </w:r>
      <w:r w:rsidR="005505D0" w:rsidRPr="00433F5C">
        <w:rPr>
          <w:i/>
          <w:iCs/>
          <w:color w:val="FF0000"/>
          <w:highlight w:val="yellow"/>
          <w:u w:val="single"/>
        </w:rPr>
        <w:t>system boundary</w:t>
      </w:r>
      <w:r w:rsidR="005505D0" w:rsidRPr="005505D0">
        <w:rPr>
          <w:color w:val="FF0000"/>
          <w:highlight w:val="yellow"/>
          <w:u w:val="single"/>
        </w:rPr>
        <w:t xml:space="preserve"> </w:t>
      </w:r>
      <w:r w:rsidR="00433F5C">
        <w:rPr>
          <w:color w:val="FF0000"/>
          <w:highlight w:val="yellow"/>
          <w:u w:val="single"/>
        </w:rPr>
        <w:t>exclusions</w:t>
      </w:r>
      <w:r w:rsidR="005505D0" w:rsidRPr="005505D0">
        <w:rPr>
          <w:color w:val="FF0000"/>
          <w:highlight w:val="yellow"/>
          <w:u w:val="single"/>
        </w:rPr>
        <w:t>.</w:t>
      </w:r>
      <w:r w:rsidR="005505D0" w:rsidRPr="005505D0">
        <w:t xml:space="preserve"> </w:t>
      </w:r>
      <w:r w:rsidR="005505D0" w:rsidRPr="005505D0">
        <w:rPr>
          <w:strike/>
          <w:color w:val="77206D" w:themeColor="accent5" w:themeShade="BF"/>
        </w:rPr>
        <w:t>only to emissions from life cycle stages A1-A3, covering extraction, transportation of raw materials and production of building products.</w:t>
      </w:r>
    </w:p>
    <w:sectPr w:rsidR="0000630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4DE48" w14:textId="77777777" w:rsidR="000E7099" w:rsidRDefault="000E7099" w:rsidP="007F2356">
      <w:r>
        <w:separator/>
      </w:r>
    </w:p>
  </w:endnote>
  <w:endnote w:type="continuationSeparator" w:id="0">
    <w:p w14:paraId="2D2FE031" w14:textId="77777777" w:rsidR="000E7099" w:rsidRDefault="000E7099" w:rsidP="007F2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C6134" w14:textId="77777777" w:rsidR="000E7099" w:rsidRDefault="000E7099" w:rsidP="007F2356">
      <w:r>
        <w:separator/>
      </w:r>
    </w:p>
  </w:footnote>
  <w:footnote w:type="continuationSeparator" w:id="0">
    <w:p w14:paraId="56125350" w14:textId="77777777" w:rsidR="000E7099" w:rsidRDefault="000E7099" w:rsidP="007F2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93CBE" w14:textId="34205FA6" w:rsidR="00237923" w:rsidRPr="00237923" w:rsidRDefault="00237923" w:rsidP="007F2356">
    <w:pPr>
      <w:pStyle w:val="Header"/>
    </w:pPr>
    <w:r>
      <w:t>RESNET® Standards Public Comment and Proposed Change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D336A"/>
    <w:multiLevelType w:val="hybridMultilevel"/>
    <w:tmpl w:val="6D6C40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35BD7"/>
    <w:multiLevelType w:val="hybridMultilevel"/>
    <w:tmpl w:val="31DC0F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698953">
    <w:abstractNumId w:val="0"/>
  </w:num>
  <w:num w:numId="2" w16cid:durableId="1490904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630F"/>
    <w:rsid w:val="000150C6"/>
    <w:rsid w:val="00020D5D"/>
    <w:rsid w:val="000255B1"/>
    <w:rsid w:val="00030DAD"/>
    <w:rsid w:val="00036584"/>
    <w:rsid w:val="0004233A"/>
    <w:rsid w:val="00055E1A"/>
    <w:rsid w:val="0009232F"/>
    <w:rsid w:val="00096F71"/>
    <w:rsid w:val="000B109B"/>
    <w:rsid w:val="000B6840"/>
    <w:rsid w:val="000E18FA"/>
    <w:rsid w:val="000E3434"/>
    <w:rsid w:val="000E7099"/>
    <w:rsid w:val="000F5BA3"/>
    <w:rsid w:val="000F652B"/>
    <w:rsid w:val="001009B6"/>
    <w:rsid w:val="00100F4C"/>
    <w:rsid w:val="001416F9"/>
    <w:rsid w:val="00146511"/>
    <w:rsid w:val="00196BDD"/>
    <w:rsid w:val="00196C02"/>
    <w:rsid w:val="001B0120"/>
    <w:rsid w:val="00211DE1"/>
    <w:rsid w:val="00227748"/>
    <w:rsid w:val="002277BD"/>
    <w:rsid w:val="002377BD"/>
    <w:rsid w:val="00237923"/>
    <w:rsid w:val="00255E22"/>
    <w:rsid w:val="0027700C"/>
    <w:rsid w:val="00293940"/>
    <w:rsid w:val="002B31A9"/>
    <w:rsid w:val="002C63D4"/>
    <w:rsid w:val="00304A4C"/>
    <w:rsid w:val="00307FBF"/>
    <w:rsid w:val="003330BD"/>
    <w:rsid w:val="0034768C"/>
    <w:rsid w:val="003509C2"/>
    <w:rsid w:val="00350F7D"/>
    <w:rsid w:val="003A17AD"/>
    <w:rsid w:val="003A4860"/>
    <w:rsid w:val="003D6CB8"/>
    <w:rsid w:val="003F014A"/>
    <w:rsid w:val="003F0F19"/>
    <w:rsid w:val="003F74FF"/>
    <w:rsid w:val="00433F5C"/>
    <w:rsid w:val="0044649F"/>
    <w:rsid w:val="00451824"/>
    <w:rsid w:val="00452BF3"/>
    <w:rsid w:val="00464596"/>
    <w:rsid w:val="004766A0"/>
    <w:rsid w:val="004834CB"/>
    <w:rsid w:val="004A41B7"/>
    <w:rsid w:val="004B5E6B"/>
    <w:rsid w:val="004B65CD"/>
    <w:rsid w:val="004F566D"/>
    <w:rsid w:val="00533C6D"/>
    <w:rsid w:val="005505D0"/>
    <w:rsid w:val="005539D2"/>
    <w:rsid w:val="00553D0D"/>
    <w:rsid w:val="005642B9"/>
    <w:rsid w:val="00565CA1"/>
    <w:rsid w:val="00572131"/>
    <w:rsid w:val="00595652"/>
    <w:rsid w:val="005A0BA4"/>
    <w:rsid w:val="005A5212"/>
    <w:rsid w:val="005B4C20"/>
    <w:rsid w:val="005C1477"/>
    <w:rsid w:val="005D0CB3"/>
    <w:rsid w:val="00601A67"/>
    <w:rsid w:val="006B2838"/>
    <w:rsid w:val="006D6424"/>
    <w:rsid w:val="00724C0D"/>
    <w:rsid w:val="0077753E"/>
    <w:rsid w:val="00780C83"/>
    <w:rsid w:val="007847F3"/>
    <w:rsid w:val="007C011B"/>
    <w:rsid w:val="007D44CE"/>
    <w:rsid w:val="007F2356"/>
    <w:rsid w:val="00805ECE"/>
    <w:rsid w:val="0081296C"/>
    <w:rsid w:val="00833A08"/>
    <w:rsid w:val="008449F1"/>
    <w:rsid w:val="00861755"/>
    <w:rsid w:val="00884E59"/>
    <w:rsid w:val="008A20A3"/>
    <w:rsid w:val="008B4EDC"/>
    <w:rsid w:val="008C2F70"/>
    <w:rsid w:val="008D12F5"/>
    <w:rsid w:val="008E07F8"/>
    <w:rsid w:val="008E33F8"/>
    <w:rsid w:val="00907352"/>
    <w:rsid w:val="0091028E"/>
    <w:rsid w:val="00923680"/>
    <w:rsid w:val="009351E4"/>
    <w:rsid w:val="00951A06"/>
    <w:rsid w:val="00954477"/>
    <w:rsid w:val="009E13EB"/>
    <w:rsid w:val="00A2349F"/>
    <w:rsid w:val="00A269BF"/>
    <w:rsid w:val="00A27599"/>
    <w:rsid w:val="00A461A4"/>
    <w:rsid w:val="00A50BA4"/>
    <w:rsid w:val="00A519E2"/>
    <w:rsid w:val="00A6687D"/>
    <w:rsid w:val="00A71381"/>
    <w:rsid w:val="00A75080"/>
    <w:rsid w:val="00A84A23"/>
    <w:rsid w:val="00A8779E"/>
    <w:rsid w:val="00A92E15"/>
    <w:rsid w:val="00AB6728"/>
    <w:rsid w:val="00AD6AE7"/>
    <w:rsid w:val="00AE2BDA"/>
    <w:rsid w:val="00B226CC"/>
    <w:rsid w:val="00B318EE"/>
    <w:rsid w:val="00B732A9"/>
    <w:rsid w:val="00B949A9"/>
    <w:rsid w:val="00BB4F91"/>
    <w:rsid w:val="00BB7C36"/>
    <w:rsid w:val="00BE2AAA"/>
    <w:rsid w:val="00BE684F"/>
    <w:rsid w:val="00BF4FB6"/>
    <w:rsid w:val="00C1045E"/>
    <w:rsid w:val="00C164D1"/>
    <w:rsid w:val="00C426F7"/>
    <w:rsid w:val="00C44BEE"/>
    <w:rsid w:val="00C62BE7"/>
    <w:rsid w:val="00CB00B9"/>
    <w:rsid w:val="00CB6964"/>
    <w:rsid w:val="00CC17E9"/>
    <w:rsid w:val="00CF22DD"/>
    <w:rsid w:val="00D24B21"/>
    <w:rsid w:val="00D3150A"/>
    <w:rsid w:val="00D824DE"/>
    <w:rsid w:val="00DA2CCF"/>
    <w:rsid w:val="00DE2C14"/>
    <w:rsid w:val="00DE4A92"/>
    <w:rsid w:val="00E009EB"/>
    <w:rsid w:val="00E149CB"/>
    <w:rsid w:val="00E23359"/>
    <w:rsid w:val="00E328EA"/>
    <w:rsid w:val="00E4019E"/>
    <w:rsid w:val="00E429A6"/>
    <w:rsid w:val="00E841FA"/>
    <w:rsid w:val="00EC2738"/>
    <w:rsid w:val="00EF5313"/>
    <w:rsid w:val="00F44C65"/>
    <w:rsid w:val="00F73DC1"/>
    <w:rsid w:val="00F77475"/>
    <w:rsid w:val="00F82886"/>
    <w:rsid w:val="00F848E0"/>
    <w:rsid w:val="00FC39DB"/>
    <w:rsid w:val="00FD1F18"/>
    <w:rsid w:val="00FF01B5"/>
    <w:rsid w:val="00FF0953"/>
    <w:rsid w:val="00FF6959"/>
    <w:rsid w:val="036B902E"/>
    <w:rsid w:val="07522F1E"/>
    <w:rsid w:val="135428CC"/>
    <w:rsid w:val="37FE3990"/>
    <w:rsid w:val="3D214F8B"/>
    <w:rsid w:val="3E8497AD"/>
    <w:rsid w:val="48C842EE"/>
    <w:rsid w:val="4C206C1D"/>
    <w:rsid w:val="4EDCE51E"/>
    <w:rsid w:val="55E3CAF4"/>
    <w:rsid w:val="582C51CF"/>
    <w:rsid w:val="62C09E6A"/>
    <w:rsid w:val="62FFB298"/>
    <w:rsid w:val="719A28AE"/>
    <w:rsid w:val="7458E9FE"/>
    <w:rsid w:val="7D09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35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  <w:style w:type="table" w:customStyle="1" w:styleId="TableGrid1">
    <w:name w:val="Table Grid1"/>
    <w:basedOn w:val="TableNormal"/>
    <w:next w:val="TableGrid"/>
    <w:uiPriority w:val="39"/>
    <w:rsid w:val="002C63D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unhideWhenUsed/>
    <w:rsid w:val="002C63D4"/>
    <w:pPr>
      <w:spacing w:after="0" w:line="240" w:lineRule="auto"/>
    </w:pPr>
    <w:rPr>
      <w:rFonts w:ascii="Source Sans Pro" w:hAnsi="Source Sans Pro"/>
    </w:rPr>
  </w:style>
  <w:style w:type="character" w:customStyle="1" w:styleId="FootnoteTextChar">
    <w:name w:val="Footnote Text Char"/>
    <w:basedOn w:val="DefaultParagraphFont"/>
    <w:link w:val="FootnoteText1"/>
    <w:uiPriority w:val="99"/>
    <w:rsid w:val="002C63D4"/>
    <w:rPr>
      <w:rFonts w:ascii="Source Sans Pro" w:hAnsi="Source Sans Pr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63D4"/>
    <w:rPr>
      <w:vertAlign w:val="superscript"/>
    </w:rPr>
  </w:style>
  <w:style w:type="table" w:styleId="TableGrid">
    <w:name w:val="Table Grid"/>
    <w:basedOn w:val="TableNormal"/>
    <w:uiPriority w:val="39"/>
    <w:rsid w:val="002C6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1"/>
    <w:uiPriority w:val="99"/>
    <w:semiHidden/>
    <w:unhideWhenUsed/>
    <w:rsid w:val="002C63D4"/>
    <w:pPr>
      <w:spacing w:after="0" w:line="240" w:lineRule="auto"/>
    </w:p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2C63D4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91028E"/>
    <w:pPr>
      <w:spacing w:after="0" w:line="240" w:lineRule="auto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164D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64D1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17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755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86175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kpmb.com/wp-content/uploads/2021/04/KPMB-LAB_Embodied-Carbon-in-Insulation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E99C0D-0975-41DA-B499-721E39DB73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4BF0AC-1FFE-4666-8EF1-0692E6E6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583</Words>
  <Characters>3328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Michael Rhodes</cp:lastModifiedBy>
  <cp:revision>2</cp:revision>
  <dcterms:created xsi:type="dcterms:W3CDTF">2025-01-21T20:34:00Z</dcterms:created>
  <dcterms:modified xsi:type="dcterms:W3CDTF">2025-01-21T20:34:00Z</dcterms:modified>
</cp:coreProperties>
</file>