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227CDA0F" w14:textId="34EBE146" w:rsidR="006E6AB2" w:rsidRDefault="00BD6210">
      <w:pPr>
        <w:rPr>
          <w:sz w:val="20"/>
          <w:szCs w:val="20"/>
        </w:rPr>
      </w:pPr>
      <w:r w:rsidRPr="647E3CBF">
        <w:rPr>
          <w:sz w:val="20"/>
          <w:szCs w:val="20"/>
        </w:rPr>
        <w:t>This document</w:t>
      </w:r>
      <w:r w:rsidR="00A457DB" w:rsidRPr="647E3CBF">
        <w:rPr>
          <w:sz w:val="20"/>
          <w:szCs w:val="20"/>
        </w:rPr>
        <w:t xml:space="preserve"> provides instruction</w:t>
      </w:r>
      <w:r w:rsidR="26C631E7" w:rsidRPr="647E3CBF">
        <w:rPr>
          <w:sz w:val="20"/>
          <w:szCs w:val="20"/>
        </w:rPr>
        <w:t>s on how</w:t>
      </w:r>
      <w:r w:rsidR="00A457DB" w:rsidRPr="647E3CBF">
        <w:rPr>
          <w:sz w:val="20"/>
          <w:szCs w:val="20"/>
        </w:rPr>
        <w:t xml:space="preserve"> to </w:t>
      </w:r>
      <w:r w:rsidR="7EC657DB" w:rsidRPr="647E3CBF">
        <w:rPr>
          <w:sz w:val="20"/>
          <w:szCs w:val="20"/>
        </w:rPr>
        <w:t xml:space="preserve">evaluate </w:t>
      </w:r>
      <w:r w:rsidR="72DE0A43" w:rsidRPr="647E3CBF">
        <w:rPr>
          <w:sz w:val="20"/>
          <w:szCs w:val="20"/>
        </w:rPr>
        <w:t xml:space="preserve">only </w:t>
      </w:r>
      <w:r w:rsidR="00A457DB" w:rsidRPr="647E3CBF">
        <w:rPr>
          <w:sz w:val="20"/>
          <w:szCs w:val="20"/>
        </w:rPr>
        <w:t xml:space="preserve">a portion of the </w:t>
      </w:r>
      <w:r w:rsidR="005A4ABA" w:rsidRPr="647E3CBF">
        <w:rPr>
          <w:sz w:val="20"/>
          <w:szCs w:val="20"/>
        </w:rPr>
        <w:t xml:space="preserve">elements </w:t>
      </w:r>
      <w:r w:rsidR="786C1F4A" w:rsidRPr="647E3CBF">
        <w:rPr>
          <w:sz w:val="20"/>
          <w:szCs w:val="20"/>
        </w:rPr>
        <w:t xml:space="preserve">that would otherwise be considered in </w:t>
      </w:r>
      <w:r w:rsidR="005A4ABA" w:rsidRPr="647E3CBF">
        <w:rPr>
          <w:sz w:val="20"/>
          <w:szCs w:val="20"/>
        </w:rPr>
        <w:t>a full GWP analysis</w:t>
      </w:r>
      <w:r w:rsidR="274F23AF" w:rsidRPr="647E3CBF">
        <w:rPr>
          <w:sz w:val="20"/>
          <w:szCs w:val="20"/>
        </w:rPr>
        <w:t>;</w:t>
      </w:r>
      <w:r w:rsidR="005A4ABA" w:rsidRPr="647E3CBF">
        <w:rPr>
          <w:sz w:val="20"/>
          <w:szCs w:val="20"/>
        </w:rPr>
        <w:t xml:space="preserve"> and therefore</w:t>
      </w:r>
      <w:r w:rsidR="64FC9E9A" w:rsidRPr="647E3CBF">
        <w:rPr>
          <w:sz w:val="20"/>
          <w:szCs w:val="20"/>
        </w:rPr>
        <w:t>,</w:t>
      </w:r>
      <w:r w:rsidR="007C1D0A" w:rsidRPr="647E3CBF">
        <w:rPr>
          <w:sz w:val="20"/>
          <w:szCs w:val="20"/>
        </w:rPr>
        <w:t xml:space="preserve"> the information gathered is a form o</w:t>
      </w:r>
      <w:r w:rsidR="00BB2417" w:rsidRPr="647E3CBF">
        <w:rPr>
          <w:sz w:val="20"/>
          <w:szCs w:val="20"/>
        </w:rPr>
        <w:t>f</w:t>
      </w:r>
      <w:r w:rsidR="007C1D0A" w:rsidRPr="647E3CBF">
        <w:rPr>
          <w:sz w:val="20"/>
          <w:szCs w:val="20"/>
        </w:rPr>
        <w:t xml:space="preserve"> “selective accounting”</w:t>
      </w:r>
      <w:r w:rsidR="00FC7367" w:rsidRPr="647E3CBF">
        <w:rPr>
          <w:sz w:val="20"/>
          <w:szCs w:val="20"/>
        </w:rPr>
        <w:t xml:space="preserve"> or a</w:t>
      </w:r>
      <w:r w:rsidR="00D550E7" w:rsidRPr="647E3CBF">
        <w:rPr>
          <w:sz w:val="20"/>
          <w:szCs w:val="20"/>
        </w:rPr>
        <w:t xml:space="preserve"> limited</w:t>
      </w:r>
      <w:r w:rsidR="00FC7367" w:rsidRPr="647E3CBF">
        <w:rPr>
          <w:sz w:val="20"/>
          <w:szCs w:val="20"/>
        </w:rPr>
        <w:t xml:space="preserve"> estimate</w:t>
      </w:r>
      <w:r w:rsidR="00333D88" w:rsidRPr="647E3CBF">
        <w:rPr>
          <w:sz w:val="20"/>
          <w:szCs w:val="20"/>
        </w:rPr>
        <w:t xml:space="preserve"> for an entire design</w:t>
      </w:r>
      <w:r w:rsidR="00202C15" w:rsidRPr="647E3CBF">
        <w:rPr>
          <w:sz w:val="20"/>
          <w:szCs w:val="20"/>
        </w:rPr>
        <w:t xml:space="preserve">. </w:t>
      </w:r>
      <w:r w:rsidR="1EF3FDD5" w:rsidRPr="647E3CBF">
        <w:rPr>
          <w:sz w:val="20"/>
          <w:szCs w:val="20"/>
        </w:rPr>
        <w:t xml:space="preserve">For example, </w:t>
      </w:r>
      <w:r w:rsidR="68A672C5" w:rsidRPr="647E3CBF">
        <w:rPr>
          <w:sz w:val="20"/>
          <w:szCs w:val="20"/>
        </w:rPr>
        <w:t>u</w:t>
      </w:r>
      <w:r w:rsidR="00B57828" w:rsidRPr="647E3CBF">
        <w:rPr>
          <w:sz w:val="20"/>
          <w:szCs w:val="20"/>
        </w:rPr>
        <w:t xml:space="preserve">sers may be tempted to compare </w:t>
      </w:r>
      <w:r w:rsidR="00F1643E" w:rsidRPr="647E3CBF">
        <w:rPr>
          <w:sz w:val="20"/>
          <w:szCs w:val="20"/>
        </w:rPr>
        <w:t>the GWP</w:t>
      </w:r>
      <w:r w:rsidR="00B57828" w:rsidRPr="647E3CBF">
        <w:rPr>
          <w:sz w:val="20"/>
          <w:szCs w:val="20"/>
        </w:rPr>
        <w:t xml:space="preserve"> of one product to the GWP of another product</w:t>
      </w:r>
      <w:r w:rsidR="00D35C15" w:rsidRPr="647E3CBF">
        <w:rPr>
          <w:sz w:val="20"/>
          <w:szCs w:val="20"/>
        </w:rPr>
        <w:t xml:space="preserve"> without</w:t>
      </w:r>
      <w:r w:rsidR="342FB6FD" w:rsidRPr="647E3CBF">
        <w:rPr>
          <w:sz w:val="20"/>
          <w:szCs w:val="20"/>
        </w:rPr>
        <w:t xml:space="preserve"> assessing</w:t>
      </w:r>
      <w:r w:rsidR="00D35C15" w:rsidRPr="647E3CBF">
        <w:rPr>
          <w:sz w:val="20"/>
          <w:szCs w:val="20"/>
        </w:rPr>
        <w:t xml:space="preserve"> the full impact on the whole building.</w:t>
      </w:r>
      <w:r w:rsidR="00E35363" w:rsidRPr="647E3CBF">
        <w:rPr>
          <w:sz w:val="20"/>
          <w:szCs w:val="20"/>
        </w:rPr>
        <w:t xml:space="preserve"> Unfortunately comparing a </w:t>
      </w:r>
      <w:r w:rsidR="00AD1BD6" w:rsidRPr="647E3CBF">
        <w:rPr>
          <w:sz w:val="20"/>
          <w:szCs w:val="20"/>
        </w:rPr>
        <w:t xml:space="preserve">building product that only performs one function to a product that </w:t>
      </w:r>
      <w:r w:rsidR="00F1643E" w:rsidRPr="647E3CBF">
        <w:rPr>
          <w:sz w:val="20"/>
          <w:szCs w:val="20"/>
        </w:rPr>
        <w:t>performs</w:t>
      </w:r>
      <w:r w:rsidR="00AD1BD6" w:rsidRPr="647E3CBF">
        <w:rPr>
          <w:sz w:val="20"/>
          <w:szCs w:val="20"/>
        </w:rPr>
        <w:t xml:space="preserve"> multiple functions is not</w:t>
      </w:r>
      <w:r w:rsidR="00D61082" w:rsidRPr="647E3CBF">
        <w:rPr>
          <w:sz w:val="20"/>
          <w:szCs w:val="20"/>
        </w:rPr>
        <w:t xml:space="preserve"> proper practice</w:t>
      </w:r>
      <w:r w:rsidR="002E46AB" w:rsidRPr="647E3CBF">
        <w:rPr>
          <w:sz w:val="20"/>
          <w:szCs w:val="20"/>
        </w:rPr>
        <w:t xml:space="preserve"> and misses opportunities for </w:t>
      </w:r>
      <w:r w:rsidR="6B376FE3" w:rsidRPr="647E3CBF">
        <w:rPr>
          <w:sz w:val="20"/>
          <w:szCs w:val="20"/>
        </w:rPr>
        <w:t xml:space="preserve">optimizing </w:t>
      </w:r>
      <w:r w:rsidR="002E46AB" w:rsidRPr="647E3CBF">
        <w:rPr>
          <w:sz w:val="20"/>
          <w:szCs w:val="20"/>
        </w:rPr>
        <w:t>the envelope</w:t>
      </w:r>
      <w:r w:rsidR="001249E6" w:rsidRPr="647E3CBF">
        <w:rPr>
          <w:sz w:val="20"/>
          <w:szCs w:val="20"/>
        </w:rPr>
        <w:t xml:space="preserve"> not only in terms of Embodied Carbon but also first costs</w:t>
      </w:r>
      <w:r w:rsidR="22265150" w:rsidRPr="647E3CBF">
        <w:rPr>
          <w:sz w:val="20"/>
          <w:szCs w:val="20"/>
        </w:rPr>
        <w:t>,</w:t>
      </w:r>
      <w:r w:rsidR="001249E6" w:rsidRPr="647E3CBF">
        <w:rPr>
          <w:sz w:val="20"/>
          <w:szCs w:val="20"/>
        </w:rPr>
        <w:t xml:space="preserve"> Operational Carbon</w:t>
      </w:r>
      <w:r w:rsidR="3683574D" w:rsidRPr="647E3CBF">
        <w:rPr>
          <w:sz w:val="20"/>
          <w:szCs w:val="20"/>
        </w:rPr>
        <w:t>, and life cycle energy savings</w:t>
      </w:r>
      <w:r w:rsidR="00D61082" w:rsidRPr="647E3CBF">
        <w:rPr>
          <w:sz w:val="20"/>
          <w:szCs w:val="20"/>
        </w:rPr>
        <w:t>.</w:t>
      </w:r>
      <w:r w:rsidR="00B861B7" w:rsidRPr="647E3CBF">
        <w:rPr>
          <w:sz w:val="20"/>
          <w:szCs w:val="20"/>
        </w:rPr>
        <w:t xml:space="preserve"> Where one product is selected for the project and is serving the purpose of multiple products in the reference building (i.e. foam sheathing serving as </w:t>
      </w:r>
      <w:r w:rsidR="00346A09" w:rsidRPr="647E3CBF">
        <w:rPr>
          <w:sz w:val="20"/>
          <w:szCs w:val="20"/>
        </w:rPr>
        <w:t xml:space="preserve">thermal </w:t>
      </w:r>
      <w:r w:rsidR="00B861B7" w:rsidRPr="647E3CBF">
        <w:rPr>
          <w:sz w:val="20"/>
          <w:szCs w:val="20"/>
        </w:rPr>
        <w:t xml:space="preserve">insulation, WRB, and </w:t>
      </w:r>
      <w:r w:rsidR="00346A09" w:rsidRPr="647E3CBF">
        <w:rPr>
          <w:sz w:val="20"/>
          <w:szCs w:val="20"/>
        </w:rPr>
        <w:t xml:space="preserve">an </w:t>
      </w:r>
      <w:r w:rsidR="00B861B7" w:rsidRPr="647E3CBF">
        <w:rPr>
          <w:sz w:val="20"/>
          <w:szCs w:val="20"/>
        </w:rPr>
        <w:t xml:space="preserve">air barrier) the combined embodied carbon of </w:t>
      </w:r>
      <w:proofErr w:type="gramStart"/>
      <w:r w:rsidR="00406E10" w:rsidRPr="647E3CBF">
        <w:rPr>
          <w:sz w:val="20"/>
          <w:szCs w:val="20"/>
        </w:rPr>
        <w:t>all</w:t>
      </w:r>
      <w:r w:rsidR="00B861B7" w:rsidRPr="647E3CBF">
        <w:rPr>
          <w:sz w:val="20"/>
          <w:szCs w:val="20"/>
        </w:rPr>
        <w:t xml:space="preserve"> of</w:t>
      </w:r>
      <w:proofErr w:type="gramEnd"/>
      <w:r w:rsidR="00B861B7" w:rsidRPr="647E3CBF">
        <w:rPr>
          <w:sz w:val="20"/>
          <w:szCs w:val="20"/>
        </w:rPr>
        <w:t xml:space="preserve"> the reference </w:t>
      </w:r>
      <w:r w:rsidR="0050391F" w:rsidRPr="647E3CBF">
        <w:rPr>
          <w:sz w:val="20"/>
          <w:szCs w:val="20"/>
        </w:rPr>
        <w:t>building</w:t>
      </w:r>
      <w:r w:rsidR="00B861B7" w:rsidRPr="647E3CBF">
        <w:rPr>
          <w:sz w:val="20"/>
          <w:szCs w:val="20"/>
        </w:rPr>
        <w:t xml:space="preserve"> materials shall be used to estimate the carbon benefits of the single multi-attribute product.</w:t>
      </w:r>
      <w:r w:rsidR="6846F4C2" w:rsidRPr="647E3CBF">
        <w:rPr>
          <w:sz w:val="20"/>
          <w:szCs w:val="20"/>
        </w:rPr>
        <w:t xml:space="preserve"> In other words, the building envelope must be evaluated as a full assembly and not on a product-by-product basis. </w:t>
      </w:r>
    </w:p>
    <w:p w14:paraId="58F2615F" w14:textId="21BD5BFB" w:rsidR="0000630F" w:rsidRDefault="007A5903">
      <w:pPr>
        <w:rPr>
          <w:sz w:val="20"/>
          <w:szCs w:val="20"/>
        </w:rPr>
      </w:pPr>
      <w:r>
        <w:rPr>
          <w:sz w:val="20"/>
          <w:szCs w:val="20"/>
        </w:rPr>
        <w:t>Therefore</w:t>
      </w:r>
      <w:r w:rsidR="005E6FC0">
        <w:rPr>
          <w:sz w:val="20"/>
          <w:szCs w:val="20"/>
        </w:rPr>
        <w:t>,</w:t>
      </w:r>
      <w:r w:rsidR="00500D05">
        <w:rPr>
          <w:sz w:val="20"/>
          <w:szCs w:val="20"/>
        </w:rPr>
        <w:t xml:space="preserve"> in the Purpose statement of the document</w:t>
      </w:r>
      <w:r w:rsidR="005E6FC0">
        <w:rPr>
          <w:sz w:val="20"/>
          <w:szCs w:val="20"/>
        </w:rPr>
        <w:t xml:space="preserve"> the user should be directed</w:t>
      </w:r>
      <w:r>
        <w:rPr>
          <w:sz w:val="20"/>
          <w:szCs w:val="20"/>
        </w:rPr>
        <w:t xml:space="preserve"> </w:t>
      </w:r>
      <w:r w:rsidR="00513636">
        <w:rPr>
          <w:sz w:val="20"/>
          <w:szCs w:val="20"/>
        </w:rPr>
        <w:t xml:space="preserve">to compare the </w:t>
      </w:r>
      <w:r w:rsidR="005D6A13" w:rsidRPr="005D6A13">
        <w:rPr>
          <w:sz w:val="20"/>
          <w:szCs w:val="20"/>
        </w:rPr>
        <w:t>GWP</w:t>
      </w:r>
      <w:r w:rsidR="005D6A13">
        <w:rPr>
          <w:sz w:val="20"/>
          <w:szCs w:val="20"/>
        </w:rPr>
        <w:t xml:space="preserve"> Estimate</w:t>
      </w:r>
      <w:r w:rsidR="00513636">
        <w:rPr>
          <w:sz w:val="20"/>
          <w:szCs w:val="20"/>
        </w:rPr>
        <w:t xml:space="preserve"> of </w:t>
      </w:r>
      <w:r w:rsidR="004A5CAD">
        <w:rPr>
          <w:sz w:val="20"/>
          <w:szCs w:val="20"/>
        </w:rPr>
        <w:t>equal</w:t>
      </w:r>
      <w:r w:rsidR="00DA5CFF">
        <w:rPr>
          <w:sz w:val="20"/>
          <w:szCs w:val="20"/>
        </w:rPr>
        <w:t xml:space="preserve">ly performing </w:t>
      </w:r>
      <w:r w:rsidR="004A5CAD">
        <w:rPr>
          <w:sz w:val="20"/>
          <w:szCs w:val="20"/>
        </w:rPr>
        <w:t>designs at the whole building</w:t>
      </w:r>
      <w:r w:rsidR="00DA5CFF">
        <w:rPr>
          <w:sz w:val="20"/>
          <w:szCs w:val="20"/>
        </w:rPr>
        <w:t xml:space="preserve"> level</w:t>
      </w:r>
      <w:r w:rsidR="005E6FC0">
        <w:rPr>
          <w:sz w:val="20"/>
          <w:szCs w:val="20"/>
        </w:rPr>
        <w:t xml:space="preserve"> only</w:t>
      </w:r>
      <w:r w:rsidR="006E6AB2">
        <w:rPr>
          <w:sz w:val="20"/>
          <w:szCs w:val="20"/>
        </w:rPr>
        <w:t xml:space="preserve"> and not at a “building product” level.</w:t>
      </w:r>
    </w:p>
    <w:p w14:paraId="32422D30" w14:textId="1C53CA5C" w:rsidR="0030071D" w:rsidRPr="0000630F" w:rsidRDefault="00757E2C" w:rsidP="00757E2C">
      <w:pPr>
        <w:rPr>
          <w:sz w:val="20"/>
          <w:szCs w:val="20"/>
        </w:rPr>
      </w:pPr>
      <w:commentRangeStart w:id="0"/>
      <w:r>
        <w:rPr>
          <w:sz w:val="20"/>
          <w:szCs w:val="20"/>
        </w:rPr>
        <w:t>Below</w:t>
      </w:r>
      <w:commentRangeEnd w:id="0"/>
      <w:r w:rsidR="006312DE">
        <w:rPr>
          <w:rStyle w:val="CommentReference"/>
        </w:rPr>
        <w:commentReference w:id="0"/>
      </w:r>
      <w:r>
        <w:rPr>
          <w:sz w:val="20"/>
          <w:szCs w:val="20"/>
        </w:rPr>
        <w:t xml:space="preserve"> are three examples of opaque wall assemblies for </w:t>
      </w:r>
      <w:r w:rsidRPr="00757E2C">
        <w:rPr>
          <w:sz w:val="20"/>
          <w:szCs w:val="20"/>
        </w:rPr>
        <w:t>Climate Zone 4A</w:t>
      </w:r>
      <w:r>
        <w:rPr>
          <w:sz w:val="20"/>
          <w:szCs w:val="20"/>
        </w:rPr>
        <w:t xml:space="preserve">, </w:t>
      </w:r>
      <w:r w:rsidRPr="00757E2C">
        <w:rPr>
          <w:sz w:val="20"/>
          <w:szCs w:val="20"/>
        </w:rPr>
        <w:t>2018 IBC + IECC-C (Exc. group R)</w:t>
      </w:r>
      <w:r>
        <w:rPr>
          <w:sz w:val="20"/>
          <w:szCs w:val="20"/>
        </w:rPr>
        <w:t xml:space="preserve"> that meet or</w:t>
      </w:r>
      <w:r w:rsidR="001F3729">
        <w:rPr>
          <w:sz w:val="20"/>
          <w:szCs w:val="20"/>
        </w:rPr>
        <w:t xml:space="preserve"> exceed the IECC requirements for thermal insulation</w:t>
      </w:r>
      <w:r w:rsidR="00954ABD">
        <w:rPr>
          <w:sz w:val="20"/>
          <w:szCs w:val="20"/>
        </w:rPr>
        <w:t xml:space="preserve"> (operational carbon savings)</w:t>
      </w:r>
      <w:r w:rsidR="001F3729">
        <w:rPr>
          <w:sz w:val="20"/>
          <w:szCs w:val="20"/>
        </w:rPr>
        <w:t>, air barrier</w:t>
      </w:r>
      <w:r w:rsidR="00954ABD">
        <w:rPr>
          <w:sz w:val="20"/>
          <w:szCs w:val="20"/>
        </w:rPr>
        <w:t xml:space="preserve"> (operational carbon savings)</w:t>
      </w:r>
      <w:r w:rsidR="001F3729">
        <w:rPr>
          <w:sz w:val="20"/>
          <w:szCs w:val="20"/>
        </w:rPr>
        <w:t xml:space="preserve">, </w:t>
      </w:r>
      <w:r w:rsidR="00557A05">
        <w:rPr>
          <w:sz w:val="20"/>
          <w:szCs w:val="20"/>
        </w:rPr>
        <w:t>water-resistive barrier, and meet the NFPA requirements.</w:t>
      </w:r>
      <w:r w:rsidR="00F23FBB">
        <w:rPr>
          <w:sz w:val="20"/>
          <w:szCs w:val="20"/>
        </w:rPr>
        <w:t xml:space="preserve"> Options 1 and 2 have equal or greater</w:t>
      </w:r>
      <w:r w:rsidR="00D439DE">
        <w:rPr>
          <w:sz w:val="20"/>
          <w:szCs w:val="20"/>
        </w:rPr>
        <w:t xml:space="preserve"> </w:t>
      </w:r>
      <w:proofErr w:type="gramStart"/>
      <w:r w:rsidR="00D439DE">
        <w:rPr>
          <w:sz w:val="20"/>
          <w:szCs w:val="20"/>
        </w:rPr>
        <w:t>critical-performance</w:t>
      </w:r>
      <w:proofErr w:type="gramEnd"/>
      <w:r w:rsidR="00D439DE">
        <w:rPr>
          <w:sz w:val="20"/>
          <w:szCs w:val="20"/>
        </w:rPr>
        <w:t xml:space="preserve"> when compared to the Base Assembly</w:t>
      </w:r>
      <w:r w:rsidR="007A02F0">
        <w:rPr>
          <w:sz w:val="20"/>
          <w:szCs w:val="20"/>
        </w:rPr>
        <w:t xml:space="preserve"> yet as an assembly</w:t>
      </w:r>
      <w:r w:rsidR="007E3F4D">
        <w:rPr>
          <w:sz w:val="20"/>
          <w:szCs w:val="20"/>
        </w:rPr>
        <w:t xml:space="preserve"> may have less GWP impact depending on the multiple products selected</w:t>
      </w:r>
      <w:r w:rsidR="004E7956">
        <w:rPr>
          <w:sz w:val="20"/>
          <w:szCs w:val="20"/>
        </w:rPr>
        <w:t>.</w:t>
      </w:r>
      <w:r w:rsidR="004912CA">
        <w:rPr>
          <w:sz w:val="20"/>
          <w:szCs w:val="20"/>
        </w:rPr>
        <w:t xml:space="preserve"> </w:t>
      </w:r>
      <w:r w:rsidR="00967406">
        <w:rPr>
          <w:sz w:val="20"/>
          <w:szCs w:val="20"/>
        </w:rPr>
        <w:t>The examples show that performing a</w:t>
      </w:r>
      <w:r w:rsidR="00C97489">
        <w:rPr>
          <w:sz w:val="20"/>
          <w:szCs w:val="20"/>
        </w:rPr>
        <w:t xml:space="preserve"> one-to-one</w:t>
      </w:r>
      <w:r w:rsidR="00967406">
        <w:rPr>
          <w:sz w:val="20"/>
          <w:szCs w:val="20"/>
        </w:rPr>
        <w:t xml:space="preserve"> “product replacement” comparison will not</w:t>
      </w:r>
      <w:r w:rsidR="006A410A">
        <w:rPr>
          <w:sz w:val="20"/>
          <w:szCs w:val="20"/>
        </w:rPr>
        <w:t xml:space="preserve"> result in </w:t>
      </w:r>
      <w:r w:rsidR="00C97489">
        <w:rPr>
          <w:sz w:val="20"/>
          <w:szCs w:val="20"/>
        </w:rPr>
        <w:t>equal analysis.</w:t>
      </w:r>
    </w:p>
    <w:p w14:paraId="023A17B3" w14:textId="77777777" w:rsidR="0000630F" w:rsidRDefault="0000630F" w:rsidP="0000630F">
      <w:pPr>
        <w:rPr>
          <w:b/>
          <w:bCs/>
        </w:rPr>
      </w:pPr>
    </w:p>
    <w:p w14:paraId="09D94DAC" w14:textId="175247FC" w:rsidR="00BF051E" w:rsidRDefault="00BF051E" w:rsidP="0000630F">
      <w:pPr>
        <w:rPr>
          <w:b/>
          <w:bCs/>
        </w:rPr>
      </w:pPr>
      <w:r w:rsidRPr="00BF051E">
        <w:rPr>
          <w:noProof/>
        </w:rPr>
        <w:lastRenderedPageBreak/>
        <w:drawing>
          <wp:inline distT="0" distB="0" distL="0" distR="0" wp14:anchorId="09097256" wp14:editId="575CAFE9">
            <wp:extent cx="2743200" cy="3430326"/>
            <wp:effectExtent l="0" t="0" r="0" b="0"/>
            <wp:docPr id="985632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3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C11">
        <w:rPr>
          <w:b/>
          <w:bCs/>
        </w:rPr>
        <w:t xml:space="preserve"> </w:t>
      </w:r>
      <w:r w:rsidR="00CA5C11" w:rsidRPr="00CA5C11">
        <w:rPr>
          <w:noProof/>
        </w:rPr>
        <w:drawing>
          <wp:inline distT="0" distB="0" distL="0" distR="0" wp14:anchorId="63F1DB11" wp14:editId="02DABD4B">
            <wp:extent cx="2743200" cy="3323128"/>
            <wp:effectExtent l="0" t="0" r="0" b="0"/>
            <wp:docPr id="8557428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D3342" w14:textId="50E8227E" w:rsidR="00AC5108" w:rsidRDefault="00E11324" w:rsidP="0000630F">
      <w:pPr>
        <w:rPr>
          <w:b/>
          <w:bCs/>
        </w:rPr>
      </w:pPr>
      <w:r w:rsidRPr="00E11324">
        <w:rPr>
          <w:noProof/>
        </w:rPr>
        <w:drawing>
          <wp:inline distT="0" distB="0" distL="0" distR="0" wp14:anchorId="76C572D0" wp14:editId="713CF488">
            <wp:extent cx="2743200" cy="3323128"/>
            <wp:effectExtent l="0" t="0" r="0" b="0"/>
            <wp:docPr id="8069159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4913" w14:textId="77777777" w:rsidR="00BF051E" w:rsidRDefault="00BF051E" w:rsidP="0000630F">
      <w:pPr>
        <w:rPr>
          <w:b/>
          <w:bCs/>
        </w:rPr>
      </w:pPr>
    </w:p>
    <w:p w14:paraId="7351E751" w14:textId="77777777" w:rsidR="00BF051E" w:rsidRDefault="00BF051E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D05732D" w14:textId="07DD9AB2" w:rsidR="00DB152F" w:rsidRPr="007E79B2" w:rsidRDefault="00BF55F8" w:rsidP="0000630F">
      <w:pPr>
        <w:rPr>
          <w:sz w:val="20"/>
          <w:szCs w:val="20"/>
        </w:rPr>
      </w:pPr>
      <w:r w:rsidRPr="007E79B2">
        <w:rPr>
          <w:sz w:val="20"/>
          <w:szCs w:val="20"/>
        </w:rPr>
        <w:t>Document Title</w:t>
      </w:r>
    </w:p>
    <w:p w14:paraId="011320F1" w14:textId="736A78A1" w:rsidR="00BF55F8" w:rsidRPr="007E79B2" w:rsidRDefault="007E79B2" w:rsidP="0000630F">
      <w:pPr>
        <w:rPr>
          <w:sz w:val="20"/>
          <w:szCs w:val="20"/>
        </w:rPr>
      </w:pPr>
      <w:r w:rsidRPr="007E79B2">
        <w:rPr>
          <w:sz w:val="20"/>
          <w:szCs w:val="20"/>
        </w:rPr>
        <w:t xml:space="preserve">Standard for </w:t>
      </w:r>
      <w:r w:rsidRPr="007E79B2">
        <w:rPr>
          <w:strike/>
          <w:color w:val="77206D" w:themeColor="accent5" w:themeShade="BF"/>
          <w:sz w:val="20"/>
          <w:szCs w:val="20"/>
        </w:rPr>
        <w:t>Calculating</w:t>
      </w:r>
      <w:r w:rsidRPr="007E79B2">
        <w:rPr>
          <w:color w:val="77206D" w:themeColor="accent5" w:themeShade="BF"/>
          <w:sz w:val="20"/>
          <w:szCs w:val="20"/>
        </w:rPr>
        <w:t xml:space="preserve"> </w:t>
      </w:r>
      <w:r w:rsidR="000F28C5" w:rsidRPr="001E301C">
        <w:rPr>
          <w:color w:val="FF0000"/>
          <w:sz w:val="20"/>
          <w:szCs w:val="20"/>
          <w:highlight w:val="yellow"/>
          <w:u w:val="single"/>
        </w:rPr>
        <w:t>Verifying,</w:t>
      </w:r>
      <w:r w:rsidR="000046C4" w:rsidRPr="001E301C">
        <w:rPr>
          <w:color w:val="FF0000"/>
          <w:sz w:val="20"/>
          <w:szCs w:val="20"/>
        </w:rPr>
        <w:t xml:space="preserve"> </w:t>
      </w:r>
      <w:r w:rsidRPr="001E301C">
        <w:rPr>
          <w:color w:val="FF0000"/>
          <w:sz w:val="20"/>
          <w:szCs w:val="20"/>
          <w:highlight w:val="yellow"/>
          <w:u w:val="single"/>
        </w:rPr>
        <w:t>Estimating</w:t>
      </w:r>
      <w:r w:rsidR="000046C4" w:rsidRPr="001E301C">
        <w:rPr>
          <w:color w:val="FF0000"/>
          <w:sz w:val="20"/>
          <w:szCs w:val="20"/>
          <w:u w:val="single"/>
        </w:rPr>
        <w:t>,</w:t>
      </w:r>
      <w:r w:rsidR="00CB7D23">
        <w:rPr>
          <w:sz w:val="20"/>
          <w:szCs w:val="20"/>
          <w:u w:val="single"/>
        </w:rPr>
        <w:t xml:space="preserve"> </w:t>
      </w:r>
      <w:r w:rsidRPr="007E79B2">
        <w:rPr>
          <w:sz w:val="20"/>
          <w:szCs w:val="20"/>
        </w:rPr>
        <w:t>and Reporting the</w:t>
      </w:r>
      <w:r w:rsidR="00CB7D23">
        <w:rPr>
          <w:sz w:val="20"/>
          <w:szCs w:val="20"/>
        </w:rPr>
        <w:t xml:space="preserve"> </w:t>
      </w:r>
      <w:r w:rsidRPr="007E79B2">
        <w:rPr>
          <w:sz w:val="20"/>
          <w:szCs w:val="20"/>
        </w:rPr>
        <w:t>Embodied Carbon of Buildings with Dwelling and Sleeping Units</w:t>
      </w:r>
    </w:p>
    <w:p w14:paraId="12728E55" w14:textId="77777777" w:rsidR="00DB152F" w:rsidRPr="007E79B2" w:rsidRDefault="00DB152F" w:rsidP="0000630F">
      <w:pPr>
        <w:rPr>
          <w:sz w:val="20"/>
          <w:szCs w:val="20"/>
        </w:rPr>
      </w:pPr>
    </w:p>
    <w:p w14:paraId="6B54677B" w14:textId="53EEE51E" w:rsidR="00E46DC7" w:rsidRPr="007E79B2" w:rsidRDefault="00E46DC7" w:rsidP="00E46DC7">
      <w:pPr>
        <w:pStyle w:val="Heading1"/>
        <w:numPr>
          <w:ilvl w:val="0"/>
          <w:numId w:val="2"/>
        </w:numPr>
        <w:rPr>
          <w:color w:val="auto"/>
          <w:sz w:val="20"/>
          <w:szCs w:val="20"/>
        </w:rPr>
      </w:pPr>
      <w:bookmarkStart w:id="2" w:name="_Toc854298894"/>
      <w:bookmarkStart w:id="3" w:name="_Toc180680622"/>
      <w:r w:rsidRPr="007E79B2">
        <w:rPr>
          <w:color w:val="auto"/>
          <w:sz w:val="20"/>
          <w:szCs w:val="20"/>
        </w:rPr>
        <w:t>Purpose</w:t>
      </w:r>
      <w:bookmarkEnd w:id="2"/>
      <w:bookmarkEnd w:id="3"/>
    </w:p>
    <w:p w14:paraId="185D40A1" w14:textId="581F3DAA" w:rsidR="00ED1F90" w:rsidRPr="007E79B2" w:rsidRDefault="008A05D8" w:rsidP="00ED1F90">
      <w:pPr>
        <w:rPr>
          <w:color w:val="3A7C22" w:themeColor="accent6" w:themeShade="BF"/>
          <w:sz w:val="20"/>
          <w:szCs w:val="20"/>
          <w:u w:val="single"/>
        </w:rPr>
      </w:pPr>
      <w:r w:rsidRPr="647E3CBF">
        <w:rPr>
          <w:sz w:val="20"/>
          <w:szCs w:val="20"/>
        </w:rPr>
        <w:t>The provisions of this document establish a methodology for</w:t>
      </w:r>
      <w:r w:rsidRPr="647E3CBF">
        <w:rPr>
          <w:strike/>
          <w:sz w:val="20"/>
          <w:szCs w:val="20"/>
        </w:rPr>
        <w:t xml:space="preserve"> </w:t>
      </w:r>
      <w:r w:rsidRPr="647E3CBF">
        <w:rPr>
          <w:strike/>
          <w:color w:val="77206D" w:themeColor="accent5" w:themeShade="BF"/>
          <w:sz w:val="20"/>
          <w:szCs w:val="20"/>
        </w:rPr>
        <w:t>quantifying</w:t>
      </w:r>
      <w:r w:rsidR="001255F0">
        <w:rPr>
          <w:sz w:val="20"/>
          <w:szCs w:val="20"/>
        </w:rPr>
        <w:t xml:space="preserve"> </w:t>
      </w:r>
      <w:r w:rsidR="001255F0" w:rsidRPr="001E301C">
        <w:rPr>
          <w:color w:val="FF0000"/>
          <w:sz w:val="20"/>
          <w:szCs w:val="20"/>
          <w:highlight w:val="yellow"/>
          <w:u w:val="single"/>
        </w:rPr>
        <w:t>verifying,</w:t>
      </w:r>
      <w:r w:rsidR="002D3309" w:rsidRPr="001E301C">
        <w:rPr>
          <w:color w:val="FF0000"/>
          <w:sz w:val="20"/>
          <w:szCs w:val="20"/>
          <w:highlight w:val="yellow"/>
          <w:u w:val="single"/>
        </w:rPr>
        <w:t xml:space="preserve"> </w:t>
      </w:r>
      <w:r w:rsidR="004F33A9" w:rsidRPr="001E301C">
        <w:rPr>
          <w:color w:val="FF0000"/>
          <w:sz w:val="20"/>
          <w:szCs w:val="20"/>
          <w:highlight w:val="yellow"/>
          <w:u w:val="single"/>
        </w:rPr>
        <w:t>estimating</w:t>
      </w:r>
      <w:r w:rsidR="001255F0" w:rsidRPr="001E301C">
        <w:rPr>
          <w:color w:val="FF0000"/>
          <w:sz w:val="20"/>
          <w:szCs w:val="20"/>
          <w:highlight w:val="yellow"/>
          <w:u w:val="single"/>
        </w:rPr>
        <w:t>,</w:t>
      </w:r>
      <w:r w:rsidR="004F33A9" w:rsidRPr="647E3CBF">
        <w:rPr>
          <w:sz w:val="20"/>
          <w:szCs w:val="20"/>
        </w:rPr>
        <w:t xml:space="preserve"> </w:t>
      </w:r>
      <w:r w:rsidRPr="647E3CBF">
        <w:rPr>
          <w:sz w:val="20"/>
          <w:szCs w:val="20"/>
        </w:rPr>
        <w:t>and reporting embodied greenhouse gas emissions associated with</w:t>
      </w:r>
      <w:r w:rsidR="00FD21EC" w:rsidRPr="001E301C">
        <w:rPr>
          <w:color w:val="FF0000"/>
          <w:sz w:val="20"/>
          <w:szCs w:val="20"/>
        </w:rPr>
        <w:t xml:space="preserve"> </w:t>
      </w:r>
      <w:r w:rsidR="00FD21EC" w:rsidRPr="001E301C">
        <w:rPr>
          <w:color w:val="FF0000"/>
          <w:sz w:val="20"/>
          <w:szCs w:val="20"/>
          <w:highlight w:val="yellow"/>
          <w:u w:val="single"/>
        </w:rPr>
        <w:t xml:space="preserve">the design of a </w:t>
      </w:r>
      <w:r w:rsidRPr="647E3CBF">
        <w:rPr>
          <w:sz w:val="20"/>
          <w:szCs w:val="20"/>
        </w:rPr>
        <w:t xml:space="preserve">building </w:t>
      </w:r>
      <w:r w:rsidRPr="647E3CBF">
        <w:rPr>
          <w:strike/>
          <w:color w:val="77206D" w:themeColor="accent5" w:themeShade="BF"/>
          <w:sz w:val="20"/>
          <w:szCs w:val="20"/>
        </w:rPr>
        <w:t xml:space="preserve">products </w:t>
      </w:r>
      <w:r w:rsidRPr="647E3CBF">
        <w:rPr>
          <w:sz w:val="20"/>
          <w:szCs w:val="20"/>
        </w:rPr>
        <w:t>using data commonly gathered by</w:t>
      </w:r>
      <w:r w:rsidRPr="001E301C">
        <w:rPr>
          <w:color w:val="FF0000"/>
          <w:sz w:val="20"/>
          <w:szCs w:val="20"/>
        </w:rPr>
        <w:t xml:space="preserve"> </w:t>
      </w:r>
      <w:proofErr w:type="gramStart"/>
      <w:r w:rsidR="0037283A" w:rsidRPr="001E301C">
        <w:rPr>
          <w:color w:val="FF0000"/>
          <w:sz w:val="20"/>
          <w:szCs w:val="20"/>
          <w:highlight w:val="yellow"/>
          <w:u w:val="single"/>
        </w:rPr>
        <w:t>a</w:t>
      </w:r>
      <w:r w:rsidR="0037283A" w:rsidRPr="001E301C">
        <w:rPr>
          <w:color w:val="FF0000"/>
          <w:sz w:val="20"/>
          <w:szCs w:val="20"/>
          <w:u w:val="single"/>
        </w:rPr>
        <w:t xml:space="preserve"> </w:t>
      </w:r>
      <w:r w:rsidR="0037283A" w:rsidRPr="001E301C">
        <w:rPr>
          <w:i/>
          <w:iCs/>
          <w:color w:val="FF0000"/>
          <w:sz w:val="20"/>
          <w:szCs w:val="20"/>
          <w:highlight w:val="yellow"/>
          <w:u w:val="single"/>
        </w:rPr>
        <w:t>C</w:t>
      </w:r>
      <w:r w:rsidR="003E4580" w:rsidRPr="001E301C">
        <w:rPr>
          <w:i/>
          <w:iCs/>
          <w:color w:val="FF0000"/>
          <w:sz w:val="20"/>
          <w:szCs w:val="20"/>
          <w:highlight w:val="yellow"/>
          <w:u w:val="single"/>
        </w:rPr>
        <w:t>ertified</w:t>
      </w:r>
      <w:proofErr w:type="gramEnd"/>
      <w:r w:rsidR="0037283A" w:rsidRPr="001E301C">
        <w:rPr>
          <w:i/>
          <w:iCs/>
          <w:color w:val="FF0000"/>
          <w:sz w:val="20"/>
          <w:szCs w:val="20"/>
          <w:u w:val="single"/>
        </w:rPr>
        <w:t xml:space="preserve"> </w:t>
      </w:r>
      <w:r w:rsidR="0037283A" w:rsidRPr="001E301C">
        <w:rPr>
          <w:i/>
          <w:iCs/>
          <w:color w:val="FF0000"/>
          <w:sz w:val="20"/>
          <w:szCs w:val="20"/>
          <w:highlight w:val="yellow"/>
          <w:u w:val="single"/>
        </w:rPr>
        <w:t>Rater</w:t>
      </w:r>
      <w:r w:rsidR="003E4580" w:rsidRPr="001E301C">
        <w:rPr>
          <w:color w:val="FF0000"/>
          <w:sz w:val="20"/>
          <w:szCs w:val="20"/>
          <w:u w:val="single"/>
        </w:rPr>
        <w:t xml:space="preserve"> </w:t>
      </w:r>
      <w:r w:rsidRPr="647E3CBF">
        <w:rPr>
          <w:strike/>
          <w:color w:val="77206D" w:themeColor="accent5" w:themeShade="BF"/>
          <w:sz w:val="20"/>
          <w:szCs w:val="20"/>
        </w:rPr>
        <w:t>energy</w:t>
      </w:r>
      <w:r w:rsidRPr="647E3CBF">
        <w:rPr>
          <w:color w:val="77206D" w:themeColor="accent5" w:themeShade="BF"/>
          <w:sz w:val="20"/>
          <w:szCs w:val="20"/>
        </w:rPr>
        <w:t xml:space="preserve"> </w:t>
      </w:r>
      <w:r w:rsidRPr="647E3CBF">
        <w:rPr>
          <w:strike/>
          <w:color w:val="77206D" w:themeColor="accent5" w:themeShade="BF"/>
          <w:sz w:val="20"/>
          <w:szCs w:val="20"/>
        </w:rPr>
        <w:t>raters and according to the system boundary and data sources defined in Section 5</w:t>
      </w:r>
      <w:r w:rsidRPr="647E3CBF">
        <w:rPr>
          <w:sz w:val="20"/>
          <w:szCs w:val="20"/>
        </w:rPr>
        <w:t>.</w:t>
      </w:r>
    </w:p>
    <w:p w14:paraId="7DD8A835" w14:textId="517758BA" w:rsidR="0000630F" w:rsidRPr="001E301C" w:rsidRDefault="00865559" w:rsidP="00ED1F90">
      <w:pPr>
        <w:rPr>
          <w:color w:val="FF0000"/>
          <w:sz w:val="20"/>
          <w:szCs w:val="20"/>
          <w:u w:val="single"/>
        </w:rPr>
      </w:pPr>
      <w:r w:rsidRPr="001E301C">
        <w:rPr>
          <w:color w:val="FF0000"/>
          <w:sz w:val="20"/>
          <w:szCs w:val="20"/>
          <w:highlight w:val="yellow"/>
          <w:u w:val="single"/>
        </w:rPr>
        <w:t>Estimated</w:t>
      </w:r>
      <w:r w:rsidR="00ED1F90" w:rsidRPr="001E301C">
        <w:rPr>
          <w:color w:val="FF0000"/>
          <w:sz w:val="20"/>
          <w:szCs w:val="20"/>
          <w:highlight w:val="yellow"/>
          <w:u w:val="single"/>
        </w:rPr>
        <w:t xml:space="preserve"> </w:t>
      </w:r>
      <w:r w:rsidR="00ED1F90" w:rsidRPr="001E301C">
        <w:rPr>
          <w:i/>
          <w:iCs/>
          <w:color w:val="FF0000"/>
          <w:sz w:val="20"/>
          <w:szCs w:val="20"/>
          <w:highlight w:val="yellow"/>
          <w:u w:val="single"/>
        </w:rPr>
        <w:t>GWP</w:t>
      </w:r>
      <w:r w:rsidR="00ED1F90" w:rsidRPr="001E301C">
        <w:rPr>
          <w:color w:val="FF0000"/>
          <w:sz w:val="20"/>
          <w:szCs w:val="20"/>
          <w:highlight w:val="yellow"/>
          <w:u w:val="single"/>
        </w:rPr>
        <w:t xml:space="preserve"> comparisons shall only be performed between designs of equal occupied volume, that are equal in critical-performance attributes such as but not limited to thermal energy demand intensity while accounting for thermal bridges in above-grade walls, percentage of the annual energy cost, whole-building estimated air leakage rate, and ENERGY STAR Score or Energy Rating Index (ERI).</w:t>
      </w:r>
    </w:p>
    <w:p w14:paraId="0EDBB3F0" w14:textId="77777777" w:rsidR="000127A9" w:rsidRPr="007E79B2" w:rsidRDefault="000127A9" w:rsidP="00ED1F90">
      <w:pPr>
        <w:rPr>
          <w:sz w:val="20"/>
          <w:szCs w:val="20"/>
          <w:u w:val="single"/>
        </w:rPr>
      </w:pPr>
    </w:p>
    <w:sectPr w:rsidR="000127A9" w:rsidRPr="007E79B2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chael Rhodes" w:date="2025-01-21T10:49:00Z" w:initials="MR">
    <w:p w14:paraId="03863C02" w14:textId="194852BC" w:rsidR="006312DE" w:rsidRDefault="006312DE" w:rsidP="006312DE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"mailto:jkoscher@pima.org"</w:instrText>
      </w:r>
      <w:bookmarkStart w:id="1" w:name="_@_9E15E5F5231F42C5A89571C7CB4B2584Z"/>
      <w:r>
        <w:fldChar w:fldCharType="separate"/>
      </w:r>
      <w:bookmarkEnd w:id="1"/>
      <w:r w:rsidRPr="006312DE">
        <w:rPr>
          <w:rStyle w:val="Mention"/>
          <w:noProof/>
        </w:rPr>
        <w:t>@Justin Koscher</w:t>
      </w:r>
      <w:r>
        <w:fldChar w:fldCharType="end"/>
      </w:r>
      <w:r>
        <w:t xml:space="preserve"> I have added additional comment and three graphics to help show the differences in equal critical-performance opaque wall assembly. If this is helpful, let me know and I will keep it. Otherwise, I will remove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863C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254C0A" w16cex:dateUtc="2025-01-21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863C02" w16cid:durableId="49254C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7225" w14:textId="77777777" w:rsidR="004C0FD1" w:rsidRDefault="004C0FD1" w:rsidP="00237923">
      <w:pPr>
        <w:spacing w:after="0" w:line="240" w:lineRule="auto"/>
      </w:pPr>
      <w:r>
        <w:separator/>
      </w:r>
    </w:p>
  </w:endnote>
  <w:endnote w:type="continuationSeparator" w:id="0">
    <w:p w14:paraId="15D2AB99" w14:textId="77777777" w:rsidR="004C0FD1" w:rsidRDefault="004C0FD1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371E" w14:textId="77777777" w:rsidR="004C0FD1" w:rsidRDefault="004C0FD1" w:rsidP="00237923">
      <w:pPr>
        <w:spacing w:after="0" w:line="240" w:lineRule="auto"/>
      </w:pPr>
      <w:r>
        <w:separator/>
      </w:r>
    </w:p>
  </w:footnote>
  <w:footnote w:type="continuationSeparator" w:id="0">
    <w:p w14:paraId="0EEF70C0" w14:textId="77777777" w:rsidR="004C0FD1" w:rsidRDefault="004C0FD1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1387F"/>
    <w:multiLevelType w:val="hybridMultilevel"/>
    <w:tmpl w:val="4712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1F61"/>
    <w:multiLevelType w:val="hybridMultilevel"/>
    <w:tmpl w:val="87EE39C8"/>
    <w:lvl w:ilvl="0" w:tplc="4E126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41063">
    <w:abstractNumId w:val="0"/>
  </w:num>
  <w:num w:numId="2" w16cid:durableId="4146670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ael Rhodes">
    <w15:presenceInfo w15:providerId="AD" w15:userId="S::mrhodes@pima.org::d8f8bf5b-aed2-4117-a125-7be7109b3e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46C4"/>
    <w:rsid w:val="0000630F"/>
    <w:rsid w:val="000127A9"/>
    <w:rsid w:val="00014806"/>
    <w:rsid w:val="00036584"/>
    <w:rsid w:val="00055E1A"/>
    <w:rsid w:val="000E18FA"/>
    <w:rsid w:val="000F2709"/>
    <w:rsid w:val="000F28C5"/>
    <w:rsid w:val="001249E6"/>
    <w:rsid w:val="001255F0"/>
    <w:rsid w:val="00181B55"/>
    <w:rsid w:val="001E301C"/>
    <w:rsid w:val="001F3729"/>
    <w:rsid w:val="00202C15"/>
    <w:rsid w:val="00214B9B"/>
    <w:rsid w:val="002377BD"/>
    <w:rsid w:val="00237923"/>
    <w:rsid w:val="00255E22"/>
    <w:rsid w:val="002865CE"/>
    <w:rsid w:val="002A17A1"/>
    <w:rsid w:val="002D3309"/>
    <w:rsid w:val="002E46AB"/>
    <w:rsid w:val="0030071D"/>
    <w:rsid w:val="00333D88"/>
    <w:rsid w:val="003348BF"/>
    <w:rsid w:val="00346A09"/>
    <w:rsid w:val="0037283A"/>
    <w:rsid w:val="00373CFA"/>
    <w:rsid w:val="003E4580"/>
    <w:rsid w:val="00406E10"/>
    <w:rsid w:val="004766A0"/>
    <w:rsid w:val="004912CA"/>
    <w:rsid w:val="004A5CAD"/>
    <w:rsid w:val="004C0FD1"/>
    <w:rsid w:val="004D5A27"/>
    <w:rsid w:val="004E7956"/>
    <w:rsid w:val="004F33A9"/>
    <w:rsid w:val="00500D05"/>
    <w:rsid w:val="0050391F"/>
    <w:rsid w:val="00503F15"/>
    <w:rsid w:val="00506A35"/>
    <w:rsid w:val="00513636"/>
    <w:rsid w:val="00553B9C"/>
    <w:rsid w:val="00553D0D"/>
    <w:rsid w:val="00557A05"/>
    <w:rsid w:val="0056027F"/>
    <w:rsid w:val="00582914"/>
    <w:rsid w:val="005A4ABA"/>
    <w:rsid w:val="005C1477"/>
    <w:rsid w:val="005D6A13"/>
    <w:rsid w:val="005E6FC0"/>
    <w:rsid w:val="006312DE"/>
    <w:rsid w:val="006A410A"/>
    <w:rsid w:val="006E6AB2"/>
    <w:rsid w:val="006F7C2B"/>
    <w:rsid w:val="00753240"/>
    <w:rsid w:val="00757E2C"/>
    <w:rsid w:val="00757F64"/>
    <w:rsid w:val="007A02F0"/>
    <w:rsid w:val="007A5903"/>
    <w:rsid w:val="007B1F11"/>
    <w:rsid w:val="007C1D0A"/>
    <w:rsid w:val="007E3F4D"/>
    <w:rsid w:val="007E79B2"/>
    <w:rsid w:val="00821390"/>
    <w:rsid w:val="00865559"/>
    <w:rsid w:val="008A05D8"/>
    <w:rsid w:val="008C2F70"/>
    <w:rsid w:val="00907352"/>
    <w:rsid w:val="00954ABD"/>
    <w:rsid w:val="00967406"/>
    <w:rsid w:val="00991D9B"/>
    <w:rsid w:val="00A0178E"/>
    <w:rsid w:val="00A457DB"/>
    <w:rsid w:val="00A519E2"/>
    <w:rsid w:val="00A559BD"/>
    <w:rsid w:val="00AB65BE"/>
    <w:rsid w:val="00AB6728"/>
    <w:rsid w:val="00AC5108"/>
    <w:rsid w:val="00AD1BD6"/>
    <w:rsid w:val="00AD40E7"/>
    <w:rsid w:val="00AE1FA3"/>
    <w:rsid w:val="00B43688"/>
    <w:rsid w:val="00B57828"/>
    <w:rsid w:val="00B732A9"/>
    <w:rsid w:val="00B861B7"/>
    <w:rsid w:val="00BB2417"/>
    <w:rsid w:val="00BC4D4E"/>
    <w:rsid w:val="00BD6210"/>
    <w:rsid w:val="00BF051E"/>
    <w:rsid w:val="00BF55F8"/>
    <w:rsid w:val="00C426F7"/>
    <w:rsid w:val="00C97489"/>
    <w:rsid w:val="00CA5C11"/>
    <w:rsid w:val="00CB7D23"/>
    <w:rsid w:val="00CD47E7"/>
    <w:rsid w:val="00D35C15"/>
    <w:rsid w:val="00D439DE"/>
    <w:rsid w:val="00D550E7"/>
    <w:rsid w:val="00D61082"/>
    <w:rsid w:val="00D824DE"/>
    <w:rsid w:val="00DA5CFF"/>
    <w:rsid w:val="00DB152F"/>
    <w:rsid w:val="00E11324"/>
    <w:rsid w:val="00E35363"/>
    <w:rsid w:val="00E46DC7"/>
    <w:rsid w:val="00E53F1B"/>
    <w:rsid w:val="00ED1F90"/>
    <w:rsid w:val="00F1643E"/>
    <w:rsid w:val="00F23FBB"/>
    <w:rsid w:val="00F44C65"/>
    <w:rsid w:val="00F7733E"/>
    <w:rsid w:val="00F87900"/>
    <w:rsid w:val="00FC3558"/>
    <w:rsid w:val="00FC7367"/>
    <w:rsid w:val="00FD21EC"/>
    <w:rsid w:val="1EF3FDD5"/>
    <w:rsid w:val="22265150"/>
    <w:rsid w:val="26C631E7"/>
    <w:rsid w:val="274F23AF"/>
    <w:rsid w:val="342FB6FD"/>
    <w:rsid w:val="3683574D"/>
    <w:rsid w:val="3FC96A30"/>
    <w:rsid w:val="63EDBA5F"/>
    <w:rsid w:val="647E3CBF"/>
    <w:rsid w:val="64FC9E9A"/>
    <w:rsid w:val="653B3B40"/>
    <w:rsid w:val="67477200"/>
    <w:rsid w:val="675EF661"/>
    <w:rsid w:val="6846F4C2"/>
    <w:rsid w:val="6880729A"/>
    <w:rsid w:val="68A672C5"/>
    <w:rsid w:val="6B376FE3"/>
    <w:rsid w:val="72DE0A43"/>
    <w:rsid w:val="78150A9F"/>
    <w:rsid w:val="786C1F4A"/>
    <w:rsid w:val="7EC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B65B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D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312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Michael Rhodes</cp:lastModifiedBy>
  <cp:revision>96</cp:revision>
  <dcterms:created xsi:type="dcterms:W3CDTF">2025-01-16T22:27:00Z</dcterms:created>
  <dcterms:modified xsi:type="dcterms:W3CDTF">2025-01-21T20:01:00Z</dcterms:modified>
</cp:coreProperties>
</file>