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ource Sans Pro" w:cs="Source Sans Pro" w:eastAsia="Source Sans Pro" w:hAnsi="Source Sans Pro"/>
          <w:sz w:val="22"/>
          <w:szCs w:val="22"/>
        </w:rPr>
      </w:pPr>
      <w:r w:rsidDel="00000000" w:rsidR="00000000" w:rsidRPr="00000000">
        <w:rPr>
          <w:b w:val="1"/>
          <w:rtl w:val="0"/>
        </w:rPr>
        <w:t xml:space="preserve">Comment/Explanation</w:t>
      </w:r>
      <w:r w:rsidDel="00000000" w:rsidR="00000000" w:rsidRPr="00000000">
        <w:rPr>
          <w:b w:val="1"/>
          <w:color w:val="ff0000"/>
          <w:rtl w:val="0"/>
        </w:rPr>
        <w:t xml:space="preserve">*</w:t>
      </w:r>
      <w:r w:rsidDel="00000000" w:rsidR="00000000" w:rsidRPr="00000000">
        <w:rPr>
          <w:b w:val="1"/>
          <w:rtl w:val="0"/>
        </w:rPr>
        <w:t xml:space="preserve">: </w:t>
        <w:br w:type="textWrapping"/>
      </w:r>
      <w:r w:rsidDel="00000000" w:rsidR="00000000" w:rsidRPr="00000000">
        <w:rPr>
          <w:i w:val="1"/>
          <w:sz w:val="20"/>
          <w:szCs w:val="20"/>
          <w:rtl w:val="0"/>
        </w:rPr>
        <w:t xml:space="preserve">Include your justification for your proposed change to the draft standard below.</w:t>
      </w:r>
      <w:r w:rsidDel="00000000" w:rsidR="00000000" w:rsidRPr="00000000">
        <w:rPr>
          <w:sz w:val="20"/>
          <w:szCs w:val="20"/>
          <w:rtl w:val="0"/>
        </w:rPr>
        <w:br w:type="textWrapping"/>
        <w:t xml:space="preserve">____________________________________________________________________________________</w:t>
      </w:r>
      <w:r w:rsidDel="00000000" w:rsidR="00000000" w:rsidRPr="00000000">
        <w:rPr>
          <w:rFonts w:ascii="Source Sans Pro" w:cs="Source Sans Pro" w:eastAsia="Source Sans Pro" w:hAnsi="Source Sans Pro"/>
          <w:sz w:val="22"/>
          <w:szCs w:val="22"/>
          <w:rtl w:val="0"/>
        </w:rPr>
        <w:t xml:space="preserve">We are happy to see waste rates provided for products, but it is confusing to see them noted as A1-A3. In other building-level assessment quantification guidance and standard, on-site waste rates are a part of A5.3 “Construction Waste”, such as in the RICS Whole Life Carbon Standard and the draft ICC/ASHRAE standard 240p.  Waste rates do not happen during manufacturing, and communicating waste factors as part of the extraction and manufacturing phases therefore feels misleading and especially confusing for new LCA practitioners. </w:t>
      </w:r>
    </w:p>
    <w:p w:rsidR="00000000" w:rsidDel="00000000" w:rsidP="00000000" w:rsidRDefault="00000000" w:rsidRPr="00000000" w14:paraId="00000002">
      <w:pPr>
        <w:spacing w:after="0" w:line="276"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At a minimum, we recommend addressing this by including a note that this scope will be included in A5 when the standard is expanded in the future. The current version of the standard could also adapt to be transparent about its scope, which is A1-A3 and a portion of A5. This is another example of where it would be great to see a clear direction as to how future versions of the standard intend to incorporate A4 and A5.</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i w:val="1"/>
          <w:sz w:val="20"/>
          <w:szCs w:val="20"/>
        </w:rPr>
      </w:pPr>
      <w:r w:rsidDel="00000000" w:rsidR="00000000" w:rsidRPr="00000000">
        <w:rPr>
          <w:rtl w:val="0"/>
        </w:rPr>
      </w:r>
    </w:p>
    <w:p w:rsidR="00000000" w:rsidDel="00000000" w:rsidP="00000000" w:rsidRDefault="00000000" w:rsidRPr="00000000" w14:paraId="00000006">
      <w:pPr>
        <w:rPr>
          <w:i w:val="1"/>
          <w:sz w:val="20"/>
          <w:szCs w:val="20"/>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i w:val="1"/>
          <w:sz w:val="20"/>
          <w:szCs w:val="20"/>
        </w:rPr>
      </w:pPr>
      <w:r w:rsidDel="00000000" w:rsidR="00000000" w:rsidRPr="00000000">
        <w:rPr>
          <w:b w:val="1"/>
          <w:rtl w:val="0"/>
        </w:rPr>
        <w:t xml:space="preserve">Proposed Change to the Draft Standard</w:t>
      </w:r>
      <w:r w:rsidDel="00000000" w:rsidR="00000000" w:rsidRPr="00000000">
        <w:rPr>
          <w:b w:val="1"/>
          <w:color w:val="ff0000"/>
          <w:rtl w:val="0"/>
        </w:rPr>
        <w:t xml:space="preserve">*</w:t>
      </w:r>
      <w:r w:rsidDel="00000000" w:rsidR="00000000" w:rsidRPr="00000000">
        <w:rPr>
          <w:rtl w:val="0"/>
        </w:rPr>
        <w:br w:type="textWrapping"/>
      </w:r>
      <w:r w:rsidDel="00000000" w:rsidR="00000000" w:rsidRPr="00000000">
        <w:rPr>
          <w:i w:val="1"/>
          <w:sz w:val="20"/>
          <w:szCs w:val="20"/>
          <w:rtl w:val="0"/>
        </w:rPr>
        <w:t xml:space="preserve">Use “strikethrough” and “underline” formatting to indicate all proposed changes. Changes must be shown with “hard-formatting” strikethrough and underline,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“track changes”. </w:t>
      </w:r>
    </w:p>
    <w:p w:rsidR="00000000" w:rsidDel="00000000" w:rsidP="00000000" w:rsidRDefault="00000000" w:rsidRPr="00000000" w14:paraId="00000009">
      <w:pPr>
        <w:rPr/>
      </w:pPr>
      <w:r w:rsidDel="00000000" w:rsidR="00000000" w:rsidRPr="00000000">
        <w:rPr>
          <w:i w:val="1"/>
          <w:sz w:val="20"/>
          <w:szCs w:val="20"/>
          <w:rtl w:val="0"/>
        </w:rPr>
        <w:t xml:space="preserve">Use a color other than red to indicate proposed changes to the draft.</w:t>
        <w:br w:type="textWrapping"/>
      </w:r>
      <w:r w:rsidDel="00000000" w:rsidR="00000000" w:rsidRPr="00000000">
        <w:rPr>
          <w:sz w:val="20"/>
          <w:szCs w:val="20"/>
          <w:rtl w:val="0"/>
        </w:rPr>
        <w:t xml:space="preserve">____________________________________________________________________________________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RESNET® Standards Public Comment and Proposed Change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3792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3792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3792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3792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3792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3792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379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379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379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79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79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79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79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79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79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79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79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792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3792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3792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3792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379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79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37923"/>
    <w:rPr>
      <w:i w:val="1"/>
      <w:iCs w:val="1"/>
      <w:color w:val="404040" w:themeColor="text1" w:themeTint="0000BF"/>
    </w:rPr>
  </w:style>
  <w:style w:type="paragraph" w:styleId="ListParagraph">
    <w:name w:val="List Paragraph"/>
    <w:basedOn w:val="Normal"/>
    <w:uiPriority w:val="34"/>
    <w:qFormat w:val="1"/>
    <w:rsid w:val="00237923"/>
    <w:pPr>
      <w:ind w:left="720"/>
      <w:contextualSpacing w:val="1"/>
    </w:pPr>
  </w:style>
  <w:style w:type="character" w:styleId="IntenseEmphasis">
    <w:name w:val="Intense Emphasis"/>
    <w:basedOn w:val="DefaultParagraphFont"/>
    <w:uiPriority w:val="21"/>
    <w:qFormat w:val="1"/>
    <w:rsid w:val="00237923"/>
    <w:rPr>
      <w:i w:val="1"/>
      <w:iCs w:val="1"/>
      <w:color w:val="0f4761" w:themeColor="accent1" w:themeShade="0000BF"/>
    </w:rPr>
  </w:style>
  <w:style w:type="paragraph" w:styleId="IntenseQuote">
    <w:name w:val="Intense Quote"/>
    <w:basedOn w:val="Normal"/>
    <w:next w:val="Normal"/>
    <w:link w:val="IntenseQuoteChar"/>
    <w:uiPriority w:val="30"/>
    <w:qFormat w:val="1"/>
    <w:rsid w:val="002379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37923"/>
    <w:rPr>
      <w:i w:val="1"/>
      <w:iCs w:val="1"/>
      <w:color w:val="0f4761" w:themeColor="accent1" w:themeShade="0000BF"/>
    </w:rPr>
  </w:style>
  <w:style w:type="character" w:styleId="IntenseReference">
    <w:name w:val="Intense Reference"/>
    <w:basedOn w:val="DefaultParagraphFont"/>
    <w:uiPriority w:val="32"/>
    <w:qFormat w:val="1"/>
    <w:rsid w:val="00237923"/>
    <w:rPr>
      <w:b w:val="1"/>
      <w:bCs w:val="1"/>
      <w:smallCaps w:val="1"/>
      <w:color w:val="0f4761" w:themeColor="accent1" w:themeShade="0000BF"/>
      <w:spacing w:val="5"/>
    </w:rPr>
  </w:style>
  <w:style w:type="paragraph" w:styleId="Header">
    <w:name w:val="header"/>
    <w:basedOn w:val="Normal"/>
    <w:link w:val="HeaderChar"/>
    <w:uiPriority w:val="99"/>
    <w:unhideWhenUsed w:val="1"/>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val="1"/>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1EdLkXUBwT6nfOScB4wY1wKmpw==">CgMxLjA4AHIhMXUwUzVDODhBQWFXSXpDZDE5Yi1SWE1EYXhfczh6VDRz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2024-08-23T12:43:00Z</dcterms:created>
  <dc:creator>Ryan Meres</dc:creator>
</cp:coreProperties>
</file>