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Comment/Explanation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: 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Include your justification for your proposed change to the draft standard below.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____________________________________________________________________________________</w:t>
      </w:r>
      <w:r w:rsidDel="00000000" w:rsidR="00000000" w:rsidRPr="00000000">
        <w:rPr>
          <w:rFonts w:ascii="Source Sans Pro" w:cs="Source Sans Pro" w:eastAsia="Source Sans Pro" w:hAnsi="Source Sans Pro"/>
          <w:sz w:val="22"/>
          <w:szCs w:val="22"/>
          <w:rtl w:val="0"/>
        </w:rPr>
        <w:t xml:space="preserve">The phrase “from cradle to grave” may be confusing in the context of this cradle-to-gate standard. We recommend removing or adding context (like the suggested sentence).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Proposed Change to the Draft Standard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Use “strikethrough” and “underline” formatting to indicate all proposed changes. Changes must be shown with “hard-formatting” strikethrough and underline, 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not</w:t>
      </w:r>
      <w:r w:rsidDel="00000000" w:rsidR="00000000" w:rsidRPr="00000000">
        <w:rPr>
          <w:i w:val="1"/>
          <w:sz w:val="20"/>
          <w:szCs w:val="20"/>
          <w:rtl w:val="0"/>
        </w:rPr>
        <w:t xml:space="preserve"> “track changes”. </w:t>
      </w:r>
    </w:p>
    <w:p w:rsidR="00000000" w:rsidDel="00000000" w:rsidP="00000000" w:rsidRDefault="00000000" w:rsidRPr="00000000" w14:paraId="0000000C">
      <w:pPr>
        <w:rPr>
          <w:rFonts w:ascii="Source Sans Pro" w:cs="Source Sans Pro" w:eastAsia="Source Sans Pro" w:hAnsi="Source Sans Pro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Use a color other than red to indicate proposed changes to the draft.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z w:val="22"/>
          <w:szCs w:val="22"/>
          <w:rtl w:val="0"/>
        </w:rPr>
        <w:t xml:space="preserve">Life</w:t>
      </w:r>
      <w:r w:rsidDel="00000000" w:rsidR="00000000" w:rsidRPr="00000000">
        <w:rPr>
          <w:rFonts w:ascii="Source Sans Pro" w:cs="Source Sans Pro" w:eastAsia="Source Sans Pro" w:hAnsi="Source Sans Pro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z w:val="22"/>
          <w:szCs w:val="22"/>
          <w:rtl w:val="0"/>
        </w:rPr>
        <w:t xml:space="preserve">Cycle Assessment (LCA)</w:t>
      </w:r>
      <w:r w:rsidDel="00000000" w:rsidR="00000000" w:rsidRPr="00000000">
        <w:rPr>
          <w:rFonts w:ascii="Source Sans Pro" w:cs="Source Sans Pro" w:eastAsia="Source Sans Pro" w:hAnsi="Source Sans Pro"/>
          <w:sz w:val="22"/>
          <w:szCs w:val="22"/>
          <w:rtl w:val="0"/>
        </w:rPr>
        <w:t xml:space="preserve"> –The compilation and evaluation of the inputs, outputs, and the potential environmental, social, and economic impacts of an assessed home throughout its life cycle</w:t>
      </w:r>
      <w:r w:rsidDel="00000000" w:rsidR="00000000" w:rsidRPr="00000000">
        <w:rPr>
          <w:rFonts w:ascii="Source Sans Pro" w:cs="Source Sans Pro" w:eastAsia="Source Sans Pro" w:hAnsi="Source Sans Pro"/>
          <w:strike w:val="1"/>
          <w:sz w:val="22"/>
          <w:szCs w:val="22"/>
          <w:rtl w:val="0"/>
        </w:rPr>
        <w:t xml:space="preserve">, from cradle to grave</w:t>
      </w:r>
      <w:r w:rsidDel="00000000" w:rsidR="00000000" w:rsidRPr="00000000">
        <w:rPr>
          <w:rFonts w:ascii="Source Sans Pro" w:cs="Source Sans Pro" w:eastAsia="Source Sans Pro" w:hAnsi="Source Sans Pro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Source Sans Pro" w:cs="Source Sans Pro" w:eastAsia="Source Sans Pro" w:hAnsi="Source Sans Pro"/>
          <w:sz w:val="22"/>
          <w:szCs w:val="22"/>
          <w:u w:val="single"/>
          <w:rtl w:val="0"/>
        </w:rPr>
        <w:t xml:space="preserve">While life cycle assessments are typically cradle to grave, this Standard focuses on a portion of the results of a life cycle assessment, including life cycle stages A1-A3.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Source Sans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RESNET® Standards Public Comment and Proposed Change 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3792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3792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3792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3792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3792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3792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3792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3792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3792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3792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3792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3792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3792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3792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3792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3792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3792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3792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3792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3792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3792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3792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3792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3792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3792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3792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3792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3792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37923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 w:val="1"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7923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x5eLsxOxGJqStohFibXQY6dMEQ==">CgMxLjA4AHIhMTFMdkVKQ1lEU2tVeHVEcFd2LW9mMlZUbXRISWRxaFRS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2024-08-23T12:43:00Z</dcterms:created>
  <dc:creator>Ryan Meres</dc:creator>
</cp:coreProperties>
</file>