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334BF670" w14:textId="033025F7" w:rsidR="001A198E" w:rsidRPr="001A198E" w:rsidRDefault="00DA0ABD" w:rsidP="001A198E">
      <w:pPr>
        <w:spacing w:line="240" w:lineRule="auto"/>
        <w:rPr>
          <w:rFonts w:ascii="Times New Roman" w:eastAsia="Times New Roman" w:hAnsi="Times New Roman" w:cs="Times New Roman"/>
          <w:kern w:val="0"/>
          <w14:ligatures w14:val="none"/>
        </w:rPr>
      </w:pPr>
      <w:r>
        <w:rPr>
          <w:rFonts w:ascii="Source Sans Pro" w:eastAsia="Times New Roman" w:hAnsi="Source Sans Pro" w:cs="Times New Roman"/>
          <w:color w:val="000000"/>
          <w:kern w:val="0"/>
          <w:sz w:val="22"/>
          <w:szCs w:val="22"/>
          <w14:ligatures w14:val="none"/>
        </w:rPr>
        <w:t>The Carbon Leadership Forum (</w:t>
      </w:r>
      <w:r w:rsidR="00855259">
        <w:rPr>
          <w:rFonts w:ascii="Source Sans Pro" w:eastAsia="Times New Roman" w:hAnsi="Source Sans Pro" w:cs="Times New Roman"/>
          <w:color w:val="000000"/>
          <w:kern w:val="0"/>
          <w:sz w:val="22"/>
          <w:szCs w:val="22"/>
          <w14:ligatures w14:val="none"/>
        </w:rPr>
        <w:t>CLF</w:t>
      </w:r>
      <w:r>
        <w:rPr>
          <w:rFonts w:ascii="Source Sans Pro" w:eastAsia="Times New Roman" w:hAnsi="Source Sans Pro" w:cs="Times New Roman"/>
          <w:color w:val="000000"/>
          <w:kern w:val="0"/>
          <w:sz w:val="22"/>
          <w:szCs w:val="22"/>
          <w14:ligatures w14:val="none"/>
        </w:rPr>
        <w:t>)</w:t>
      </w:r>
      <w:r w:rsidR="001A198E" w:rsidRPr="001A198E">
        <w:rPr>
          <w:rFonts w:ascii="Source Sans Pro" w:eastAsia="Times New Roman" w:hAnsi="Source Sans Pro" w:cs="Times New Roman"/>
          <w:color w:val="000000"/>
          <w:kern w:val="0"/>
          <w:sz w:val="22"/>
          <w:szCs w:val="22"/>
          <w14:ligatures w14:val="none"/>
        </w:rPr>
        <w:t xml:space="preserve"> recommend</w:t>
      </w:r>
      <w:r w:rsidR="00855259">
        <w:rPr>
          <w:rFonts w:ascii="Source Sans Pro" w:eastAsia="Times New Roman" w:hAnsi="Source Sans Pro" w:cs="Times New Roman"/>
          <w:color w:val="000000"/>
          <w:kern w:val="0"/>
          <w:sz w:val="22"/>
          <w:szCs w:val="22"/>
          <w14:ligatures w14:val="none"/>
        </w:rPr>
        <w:t>s</w:t>
      </w:r>
      <w:r w:rsidR="001A198E" w:rsidRPr="001A198E">
        <w:rPr>
          <w:rFonts w:ascii="Source Sans Pro" w:eastAsia="Times New Roman" w:hAnsi="Source Sans Pro" w:cs="Times New Roman"/>
          <w:color w:val="000000"/>
          <w:kern w:val="0"/>
          <w:sz w:val="22"/>
          <w:szCs w:val="22"/>
          <w14:ligatures w14:val="none"/>
        </w:rPr>
        <w:t xml:space="preserve"> removing the recommendation to calculate an 80th percentile value from available GWP factors for a product. This is overly burdensome to calculate for each individual product and is not likely that practitioners would be able to calculate this for any missing data. Instead, if values are not available, practitioners could use a benchmark factor 1.2 times greater than the closest proxy EPD, as is already included in the standard. </w:t>
      </w:r>
    </w:p>
    <w:p w14:paraId="3467E157" w14:textId="77777777" w:rsidR="0000630F" w:rsidRDefault="0000630F" w:rsidP="0000630F">
      <w:pPr>
        <w:rPr>
          <w:b/>
          <w:bCs/>
        </w:rPr>
      </w:pP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11C31977" w14:textId="77777777" w:rsidR="001A198E" w:rsidRPr="001A198E" w:rsidRDefault="001A198E" w:rsidP="001A198E">
      <w:pPr>
        <w:spacing w:before="80" w:after="0" w:line="240" w:lineRule="auto"/>
        <w:rPr>
          <w:rFonts w:ascii="Times New Roman" w:eastAsia="Times New Roman" w:hAnsi="Times New Roman" w:cs="Times New Roman"/>
          <w:kern w:val="0"/>
          <w14:ligatures w14:val="none"/>
        </w:rPr>
      </w:pPr>
      <w:r w:rsidRPr="001A198E">
        <w:rPr>
          <w:rFonts w:ascii="Source Sans Pro" w:eastAsia="Times New Roman" w:hAnsi="Source Sans Pro" w:cs="Times New Roman"/>
          <w:b/>
          <w:bCs/>
          <w:color w:val="000000"/>
          <w:kern w:val="0"/>
          <w:sz w:val="22"/>
          <w:szCs w:val="22"/>
          <w14:ligatures w14:val="none"/>
        </w:rPr>
        <w:t>Proposed Change to the Draft Standard*: </w:t>
      </w:r>
    </w:p>
    <w:p w14:paraId="04B4B77C" w14:textId="77777777" w:rsidR="001A198E" w:rsidRPr="001A198E" w:rsidRDefault="001A198E" w:rsidP="001A198E">
      <w:pPr>
        <w:spacing w:line="240" w:lineRule="auto"/>
        <w:rPr>
          <w:rFonts w:ascii="Times New Roman" w:eastAsia="Times New Roman" w:hAnsi="Times New Roman" w:cs="Times New Roman"/>
          <w:kern w:val="0"/>
          <w14:ligatures w14:val="none"/>
        </w:rPr>
      </w:pPr>
      <w:r w:rsidRPr="001A198E">
        <w:rPr>
          <w:rFonts w:ascii="Source Sans Pro" w:eastAsia="Times New Roman" w:hAnsi="Source Sans Pro" w:cs="Times New Roman"/>
          <w:strike/>
          <w:color w:val="000000"/>
          <w:kern w:val="0"/>
          <w:sz w:val="22"/>
          <w:szCs w:val="22"/>
          <w14:ligatures w14:val="none"/>
        </w:rPr>
        <w:t xml:space="preserve">Where no </w:t>
      </w:r>
      <w:r w:rsidRPr="001A198E">
        <w:rPr>
          <w:rFonts w:ascii="Source Sans Pro" w:eastAsia="Times New Roman" w:hAnsi="Source Sans Pro" w:cs="Times New Roman"/>
          <w:i/>
          <w:iCs/>
          <w:strike/>
          <w:color w:val="000000"/>
          <w:kern w:val="0"/>
          <w:sz w:val="22"/>
          <w:szCs w:val="22"/>
          <w14:ligatures w14:val="none"/>
        </w:rPr>
        <w:t>product-specific EPD</w:t>
      </w:r>
      <w:r w:rsidRPr="001A198E">
        <w:rPr>
          <w:rFonts w:ascii="Source Sans Pro" w:eastAsia="Times New Roman" w:hAnsi="Source Sans Pro" w:cs="Times New Roman"/>
          <w:strike/>
          <w:color w:val="000000"/>
          <w:kern w:val="0"/>
          <w:sz w:val="22"/>
          <w:szCs w:val="22"/>
          <w14:ligatures w14:val="none"/>
        </w:rPr>
        <w:t xml:space="preserve"> or </w:t>
      </w:r>
      <w:r w:rsidRPr="001A198E">
        <w:rPr>
          <w:rFonts w:ascii="Source Sans Pro" w:eastAsia="Times New Roman" w:hAnsi="Source Sans Pro" w:cs="Times New Roman"/>
          <w:i/>
          <w:iCs/>
          <w:strike/>
          <w:color w:val="000000"/>
          <w:kern w:val="0"/>
          <w:sz w:val="22"/>
          <w:szCs w:val="22"/>
          <w14:ligatures w14:val="none"/>
        </w:rPr>
        <w:t>LCA</w:t>
      </w:r>
      <w:r w:rsidRPr="001A198E">
        <w:rPr>
          <w:rFonts w:ascii="Source Sans Pro" w:eastAsia="Times New Roman" w:hAnsi="Source Sans Pro" w:cs="Times New Roman"/>
          <w:strike/>
          <w:color w:val="000000"/>
          <w:kern w:val="0"/>
          <w:sz w:val="22"/>
          <w:szCs w:val="22"/>
          <w14:ligatures w14:val="none"/>
        </w:rPr>
        <w:t xml:space="preserve"> or </w:t>
      </w:r>
      <w:r w:rsidRPr="001A198E">
        <w:rPr>
          <w:rFonts w:ascii="Source Sans Pro" w:eastAsia="Times New Roman" w:hAnsi="Source Sans Pro" w:cs="Times New Roman"/>
          <w:i/>
          <w:iCs/>
          <w:strike/>
          <w:color w:val="000000"/>
          <w:kern w:val="0"/>
          <w:sz w:val="22"/>
          <w:szCs w:val="22"/>
          <w14:ligatures w14:val="none"/>
        </w:rPr>
        <w:t>industry-average EPD</w:t>
      </w:r>
      <w:r w:rsidRPr="001A198E">
        <w:rPr>
          <w:rFonts w:ascii="Source Sans Pro" w:eastAsia="Times New Roman" w:hAnsi="Source Sans Pro" w:cs="Times New Roman"/>
          <w:strike/>
          <w:color w:val="000000"/>
          <w:kern w:val="0"/>
          <w:sz w:val="22"/>
          <w:szCs w:val="22"/>
          <w14:ligatures w14:val="none"/>
        </w:rPr>
        <w:t xml:space="preserve"> for </w:t>
      </w:r>
      <w:r w:rsidRPr="001A198E">
        <w:rPr>
          <w:rFonts w:ascii="Source Sans Pro" w:eastAsia="Times New Roman" w:hAnsi="Source Sans Pro" w:cs="Times New Roman"/>
          <w:i/>
          <w:iCs/>
          <w:strike/>
          <w:color w:val="000000"/>
          <w:kern w:val="0"/>
          <w:sz w:val="22"/>
          <w:szCs w:val="22"/>
          <w14:ligatures w14:val="none"/>
        </w:rPr>
        <w:t>comparable product type</w:t>
      </w:r>
      <w:r w:rsidRPr="001A198E">
        <w:rPr>
          <w:rFonts w:ascii="Source Sans Pro" w:eastAsia="Times New Roman" w:hAnsi="Source Sans Pro" w:cs="Times New Roman"/>
          <w:strike/>
          <w:color w:val="000000"/>
          <w:kern w:val="0"/>
          <w:sz w:val="22"/>
          <w:szCs w:val="22"/>
          <w14:ligatures w14:val="none"/>
        </w:rPr>
        <w:t xml:space="preserve"> exists to provide a </w:t>
      </w:r>
      <w:r w:rsidRPr="001A198E">
        <w:rPr>
          <w:rFonts w:ascii="Source Sans Pro" w:eastAsia="Times New Roman" w:hAnsi="Source Sans Pro" w:cs="Times New Roman"/>
          <w:i/>
          <w:iCs/>
          <w:strike/>
          <w:color w:val="000000"/>
          <w:kern w:val="0"/>
          <w:sz w:val="22"/>
          <w:szCs w:val="22"/>
          <w14:ligatures w14:val="none"/>
        </w:rPr>
        <w:t>GWP factor</w:t>
      </w:r>
      <w:r w:rsidRPr="001A198E">
        <w:rPr>
          <w:rFonts w:ascii="Source Sans Pro" w:eastAsia="Times New Roman" w:hAnsi="Source Sans Pro" w:cs="Times New Roman"/>
          <w:strike/>
          <w:color w:val="000000"/>
          <w:kern w:val="0"/>
          <w:sz w:val="22"/>
          <w:szCs w:val="22"/>
          <w14:ligatures w14:val="none"/>
        </w:rPr>
        <w:t xml:space="preserve"> for a product, a </w:t>
      </w:r>
      <w:r w:rsidRPr="001A198E">
        <w:rPr>
          <w:rFonts w:ascii="Source Sans Pro" w:eastAsia="Times New Roman" w:hAnsi="Source Sans Pro" w:cs="Times New Roman"/>
          <w:i/>
          <w:iCs/>
          <w:strike/>
          <w:color w:val="000000"/>
          <w:kern w:val="0"/>
          <w:sz w:val="22"/>
          <w:szCs w:val="22"/>
          <w14:ligatures w14:val="none"/>
        </w:rPr>
        <w:t>benchmark</w:t>
      </w:r>
      <w:r w:rsidRPr="001A198E">
        <w:rPr>
          <w:rFonts w:ascii="Source Sans Pro" w:eastAsia="Times New Roman" w:hAnsi="Source Sans Pro" w:cs="Times New Roman"/>
          <w:strike/>
          <w:color w:val="000000"/>
          <w:kern w:val="0"/>
          <w:sz w:val="22"/>
          <w:szCs w:val="22"/>
          <w14:ligatures w14:val="none"/>
        </w:rPr>
        <w:t xml:space="preserve"> </w:t>
      </w:r>
      <w:r w:rsidRPr="001A198E">
        <w:rPr>
          <w:rFonts w:ascii="Source Sans Pro" w:eastAsia="Times New Roman" w:hAnsi="Source Sans Pro" w:cs="Times New Roman"/>
          <w:i/>
          <w:iCs/>
          <w:strike/>
          <w:color w:val="000000"/>
          <w:kern w:val="0"/>
          <w:sz w:val="22"/>
          <w:szCs w:val="22"/>
          <w14:ligatures w14:val="none"/>
        </w:rPr>
        <w:t>GWP factor</w:t>
      </w:r>
      <w:r w:rsidRPr="001A198E">
        <w:rPr>
          <w:rFonts w:ascii="Source Sans Pro" w:eastAsia="Times New Roman" w:hAnsi="Source Sans Pro" w:cs="Times New Roman"/>
          <w:strike/>
          <w:color w:val="000000"/>
          <w:kern w:val="0"/>
          <w:sz w:val="22"/>
          <w:szCs w:val="22"/>
          <w14:ligatures w14:val="none"/>
        </w:rPr>
        <w:t xml:space="preserve"> that represents the 80th percentile of all </w:t>
      </w:r>
      <w:r w:rsidRPr="001A198E">
        <w:rPr>
          <w:rFonts w:ascii="Source Sans Pro" w:eastAsia="Times New Roman" w:hAnsi="Source Sans Pro" w:cs="Times New Roman"/>
          <w:i/>
          <w:iCs/>
          <w:strike/>
          <w:color w:val="000000"/>
          <w:kern w:val="0"/>
          <w:sz w:val="22"/>
          <w:szCs w:val="22"/>
          <w14:ligatures w14:val="none"/>
        </w:rPr>
        <w:t>GWP factors</w:t>
      </w:r>
      <w:r w:rsidRPr="001A198E">
        <w:rPr>
          <w:rFonts w:ascii="Source Sans Pro" w:eastAsia="Times New Roman" w:hAnsi="Source Sans Pro" w:cs="Times New Roman"/>
          <w:strike/>
          <w:color w:val="000000"/>
          <w:kern w:val="0"/>
          <w:sz w:val="22"/>
          <w:szCs w:val="22"/>
          <w14:ligatures w14:val="none"/>
        </w:rPr>
        <w:t xml:space="preserve"> within the same software database for </w:t>
      </w:r>
      <w:r w:rsidRPr="001A198E">
        <w:rPr>
          <w:rFonts w:ascii="Source Sans Pro" w:eastAsia="Times New Roman" w:hAnsi="Source Sans Pro" w:cs="Times New Roman"/>
          <w:i/>
          <w:iCs/>
          <w:strike/>
          <w:color w:val="000000"/>
          <w:kern w:val="0"/>
          <w:sz w:val="22"/>
          <w:szCs w:val="22"/>
          <w14:ligatures w14:val="none"/>
        </w:rPr>
        <w:t>comparable product types</w:t>
      </w:r>
      <w:r w:rsidRPr="001A198E">
        <w:rPr>
          <w:rFonts w:ascii="Source Sans Pro" w:eastAsia="Times New Roman" w:hAnsi="Source Sans Pro" w:cs="Times New Roman"/>
          <w:strike/>
          <w:color w:val="000000"/>
          <w:kern w:val="0"/>
          <w:sz w:val="22"/>
          <w:szCs w:val="22"/>
          <w14:ligatures w14:val="none"/>
        </w:rPr>
        <w:t xml:space="preserve"> shall be used. </w:t>
      </w:r>
    </w:p>
    <w:p w14:paraId="23EFCDF1" w14:textId="77777777" w:rsidR="001A198E" w:rsidRPr="001A198E" w:rsidRDefault="001A198E" w:rsidP="001A198E">
      <w:pPr>
        <w:spacing w:line="240" w:lineRule="auto"/>
        <w:rPr>
          <w:rFonts w:ascii="Times New Roman" w:eastAsia="Times New Roman" w:hAnsi="Times New Roman" w:cs="Times New Roman"/>
          <w:kern w:val="0"/>
          <w14:ligatures w14:val="none"/>
        </w:rPr>
      </w:pPr>
      <w:r w:rsidRPr="001A198E">
        <w:rPr>
          <w:rFonts w:ascii="Source Sans Pro" w:eastAsia="Times New Roman" w:hAnsi="Source Sans Pro" w:cs="Times New Roman"/>
          <w:color w:val="000000"/>
          <w:kern w:val="0"/>
          <w:sz w:val="22"/>
          <w:szCs w:val="22"/>
          <w14:ligatures w14:val="none"/>
        </w:rPr>
        <w:t xml:space="preserve">Where a </w:t>
      </w:r>
      <w:r w:rsidRPr="001A198E">
        <w:rPr>
          <w:rFonts w:ascii="Source Sans Pro" w:eastAsia="Times New Roman" w:hAnsi="Source Sans Pro" w:cs="Times New Roman"/>
          <w:i/>
          <w:iCs/>
          <w:color w:val="000000"/>
          <w:kern w:val="0"/>
          <w:sz w:val="22"/>
          <w:szCs w:val="22"/>
          <w14:ligatures w14:val="none"/>
        </w:rPr>
        <w:t>GWP factor</w:t>
      </w:r>
      <w:r w:rsidRPr="001A198E">
        <w:rPr>
          <w:rFonts w:ascii="Source Sans Pro" w:eastAsia="Times New Roman" w:hAnsi="Source Sans Pro" w:cs="Times New Roman"/>
          <w:color w:val="000000"/>
          <w:kern w:val="0"/>
          <w:sz w:val="22"/>
          <w:szCs w:val="22"/>
          <w14:ligatures w14:val="none"/>
        </w:rPr>
        <w:t xml:space="preserve"> from a single EPD or LCA for </w:t>
      </w:r>
      <w:r w:rsidRPr="001A198E">
        <w:rPr>
          <w:rFonts w:ascii="Source Sans Pro" w:eastAsia="Times New Roman" w:hAnsi="Source Sans Pro" w:cs="Times New Roman"/>
          <w:i/>
          <w:iCs/>
          <w:color w:val="000000"/>
          <w:kern w:val="0"/>
          <w:sz w:val="22"/>
          <w:szCs w:val="22"/>
          <w14:ligatures w14:val="none"/>
        </w:rPr>
        <w:t>comparable product types</w:t>
      </w:r>
      <w:r w:rsidRPr="001A198E">
        <w:rPr>
          <w:rFonts w:ascii="Source Sans Pro" w:eastAsia="Times New Roman" w:hAnsi="Source Sans Pro" w:cs="Times New Roman"/>
          <w:color w:val="000000"/>
          <w:kern w:val="0"/>
          <w:sz w:val="22"/>
          <w:szCs w:val="22"/>
          <w14:ligatures w14:val="none"/>
        </w:rPr>
        <w:t xml:space="preserve"> is available but is not specific to the product being assessed, the </w:t>
      </w:r>
      <w:r w:rsidRPr="001A198E">
        <w:rPr>
          <w:rFonts w:ascii="Source Sans Pro" w:eastAsia="Times New Roman" w:hAnsi="Source Sans Pro" w:cs="Times New Roman"/>
          <w:i/>
          <w:iCs/>
          <w:color w:val="000000"/>
          <w:kern w:val="0"/>
          <w:sz w:val="22"/>
          <w:szCs w:val="22"/>
          <w14:ligatures w14:val="none"/>
        </w:rPr>
        <w:t>benchmark</w:t>
      </w:r>
      <w:r w:rsidRPr="001A198E">
        <w:rPr>
          <w:rFonts w:ascii="Source Sans Pro" w:eastAsia="Times New Roman" w:hAnsi="Source Sans Pro" w:cs="Times New Roman"/>
          <w:color w:val="000000"/>
          <w:kern w:val="0"/>
          <w:sz w:val="22"/>
          <w:szCs w:val="22"/>
          <w14:ligatures w14:val="none"/>
        </w:rPr>
        <w:t xml:space="preserve"> </w:t>
      </w:r>
      <w:r w:rsidRPr="001A198E">
        <w:rPr>
          <w:rFonts w:ascii="Source Sans Pro" w:eastAsia="Times New Roman" w:hAnsi="Source Sans Pro" w:cs="Times New Roman"/>
          <w:i/>
          <w:iCs/>
          <w:color w:val="000000"/>
          <w:kern w:val="0"/>
          <w:sz w:val="22"/>
          <w:szCs w:val="22"/>
          <w14:ligatures w14:val="none"/>
        </w:rPr>
        <w:t>GWP factor</w:t>
      </w:r>
      <w:r w:rsidRPr="001A198E">
        <w:rPr>
          <w:rFonts w:ascii="Source Sans Pro" w:eastAsia="Times New Roman" w:hAnsi="Source Sans Pro" w:cs="Times New Roman"/>
          <w:color w:val="000000"/>
          <w:kern w:val="0"/>
          <w:sz w:val="22"/>
          <w:szCs w:val="22"/>
          <w14:ligatures w14:val="none"/>
        </w:rPr>
        <w:t xml:space="preserve"> shall be 1.2 times greater than the declared </w:t>
      </w:r>
      <w:r w:rsidRPr="001A198E">
        <w:rPr>
          <w:rFonts w:ascii="Source Sans Pro" w:eastAsia="Times New Roman" w:hAnsi="Source Sans Pro" w:cs="Times New Roman"/>
          <w:i/>
          <w:iCs/>
          <w:color w:val="000000"/>
          <w:kern w:val="0"/>
          <w:sz w:val="22"/>
          <w:szCs w:val="22"/>
          <w14:ligatures w14:val="none"/>
        </w:rPr>
        <w:t>GWP factor</w:t>
      </w:r>
      <w:r w:rsidRPr="001A198E">
        <w:rPr>
          <w:rFonts w:ascii="Source Sans Pro" w:eastAsia="Times New Roman" w:hAnsi="Source Sans Pro" w:cs="Times New Roman"/>
          <w:color w:val="000000"/>
          <w:kern w:val="0"/>
          <w:sz w:val="22"/>
          <w:szCs w:val="22"/>
          <w14:ligatures w14:val="none"/>
        </w:rPr>
        <w:t xml:space="preserve"> in the single EPD or LCA. For carbon storage values, no multiplier shall be applied.</w:t>
      </w:r>
    </w:p>
    <w:p w14:paraId="7DD8A835" w14:textId="0D8EBFA8" w:rsidR="0000630F" w:rsidRPr="0000630F" w:rsidRDefault="0000630F"/>
    <w:sectPr w:rsidR="0000630F" w:rsidRPr="000063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5AA69" w14:textId="77777777" w:rsidR="00274BF6" w:rsidRDefault="00274BF6" w:rsidP="00237923">
      <w:pPr>
        <w:spacing w:after="0" w:line="240" w:lineRule="auto"/>
      </w:pPr>
      <w:r>
        <w:separator/>
      </w:r>
    </w:p>
  </w:endnote>
  <w:endnote w:type="continuationSeparator" w:id="0">
    <w:p w14:paraId="1B7C7FE3" w14:textId="77777777" w:rsidR="00274BF6" w:rsidRDefault="00274BF6"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B4B86" w14:textId="77777777" w:rsidR="00274BF6" w:rsidRDefault="00274BF6" w:rsidP="00237923">
      <w:pPr>
        <w:spacing w:after="0" w:line="240" w:lineRule="auto"/>
      </w:pPr>
      <w:r>
        <w:separator/>
      </w:r>
    </w:p>
  </w:footnote>
  <w:footnote w:type="continuationSeparator" w:id="0">
    <w:p w14:paraId="36D583D6" w14:textId="77777777" w:rsidR="00274BF6" w:rsidRDefault="00274BF6"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A5804"/>
    <w:rsid w:val="000E18FA"/>
    <w:rsid w:val="001A198E"/>
    <w:rsid w:val="002377BD"/>
    <w:rsid w:val="00237923"/>
    <w:rsid w:val="00255E22"/>
    <w:rsid w:val="00274BF6"/>
    <w:rsid w:val="00553D0D"/>
    <w:rsid w:val="005C1477"/>
    <w:rsid w:val="006E58C7"/>
    <w:rsid w:val="00855259"/>
    <w:rsid w:val="008976DB"/>
    <w:rsid w:val="008C2F70"/>
    <w:rsid w:val="00A519E2"/>
    <w:rsid w:val="00AB6728"/>
    <w:rsid w:val="00D34466"/>
    <w:rsid w:val="00D824DE"/>
    <w:rsid w:val="00DA0ABD"/>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paragraph" w:styleId="NormalWeb">
    <w:name w:val="Normal (Web)"/>
    <w:basedOn w:val="Normal"/>
    <w:uiPriority w:val="99"/>
    <w:semiHidden/>
    <w:unhideWhenUsed/>
    <w:rsid w:val="001A198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897114">
      <w:bodyDiv w:val="1"/>
      <w:marLeft w:val="0"/>
      <w:marRight w:val="0"/>
      <w:marTop w:val="0"/>
      <w:marBottom w:val="0"/>
      <w:divBdr>
        <w:top w:val="none" w:sz="0" w:space="0" w:color="auto"/>
        <w:left w:val="none" w:sz="0" w:space="0" w:color="auto"/>
        <w:bottom w:val="none" w:sz="0" w:space="0" w:color="auto"/>
        <w:right w:val="none" w:sz="0" w:space="0" w:color="auto"/>
      </w:divBdr>
    </w:div>
    <w:div w:id="149973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3FFF1-529B-4296-87AC-D51300E905DF}">
  <ds:schemaRefs>
    <ds:schemaRef ds:uri="http://schemas.microsoft.com/sharepoint/v3/contenttype/forms"/>
  </ds:schemaRefs>
</ds:datastoreItem>
</file>

<file path=customXml/itemProps2.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Michelle Lambert</cp:lastModifiedBy>
  <cp:revision>6</cp:revision>
  <dcterms:created xsi:type="dcterms:W3CDTF">2025-01-21T20:37:00Z</dcterms:created>
  <dcterms:modified xsi:type="dcterms:W3CDTF">2025-01-21T21:00:00Z</dcterms:modified>
</cp:coreProperties>
</file>