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0BADFEF3" w14:textId="0D9B0DF5" w:rsidR="00E11DAD" w:rsidRDefault="00E11DAD" w:rsidP="00E11DAD">
      <w:r w:rsidRPr="00E11DAD">
        <w:t xml:space="preserve">Only including </w:t>
      </w:r>
      <w:r>
        <w:t xml:space="preserve">Stages </w:t>
      </w:r>
      <w:r w:rsidRPr="00E11DAD">
        <w:t xml:space="preserve">A1-A3 in this standard would mean that disposal/end of life would not be included, and the approach </w:t>
      </w:r>
      <w:r>
        <w:t xml:space="preserve">may </w:t>
      </w:r>
      <w:r w:rsidR="00E2770B">
        <w:t xml:space="preserve">a significant </w:t>
      </w:r>
      <w:r w:rsidRPr="00E11DAD">
        <w:t xml:space="preserve">carbon emission stage depending on the building product. </w:t>
      </w:r>
      <w:r w:rsidR="00E2770B">
        <w:t>Additionally, t</w:t>
      </w:r>
      <w:r w:rsidRPr="00E11DAD">
        <w:t xml:space="preserve">he non-inclusion of </w:t>
      </w:r>
      <w:r w:rsidR="00B41720" w:rsidRPr="00E11DAD">
        <w:t>stage</w:t>
      </w:r>
      <w:r w:rsidRPr="00E11DAD">
        <w:t xml:space="preserve"> C4 will leave biogenic claims hanging with negative carbon claims that are not accounted for on the backend at disposal. </w:t>
      </w:r>
      <w:r w:rsidR="00E2770B">
        <w:t>This is against all recommended literature on the calculation of biogenic carbon.</w:t>
      </w:r>
      <w:r w:rsidR="00AB660B">
        <w:t xml:space="preserve"> The re-release of biogenic carbon </w:t>
      </w:r>
      <w:r w:rsidR="00F27493">
        <w:t xml:space="preserve">is inevitable, and </w:t>
      </w:r>
      <w:r w:rsidR="006A1711">
        <w:t xml:space="preserve">interpretation of the </w:t>
      </w:r>
      <w:r w:rsidR="00F27493">
        <w:t>ISO-219</w:t>
      </w:r>
      <w:r w:rsidR="006A1711">
        <w:t xml:space="preserve">30 standard that outlines how to calculate biogenic carbon all note that if you are claiming a </w:t>
      </w:r>
      <w:r w:rsidR="001C3EE4">
        <w:t xml:space="preserve">negative value in </w:t>
      </w:r>
      <w:r w:rsidR="00820631">
        <w:t xml:space="preserve">Modules </w:t>
      </w:r>
      <w:r w:rsidR="001C3EE4">
        <w:t>A1-A3, you must account for the positive values during</w:t>
      </w:r>
      <w:r w:rsidR="00820631">
        <w:t xml:space="preserve"> Stage C.</w:t>
      </w:r>
    </w:p>
    <w:p w14:paraId="46D3BCD8" w14:textId="5A48E112" w:rsidR="006A1711" w:rsidRPr="00B41720" w:rsidRDefault="00711573" w:rsidP="00E11DAD">
      <w:pPr>
        <w:rPr>
          <w:lang w:val="fr-FR"/>
        </w:rPr>
      </w:pPr>
      <w:r w:rsidRPr="00711573">
        <w:rPr>
          <w:i/>
          <w:iCs/>
        </w:rPr>
        <w:t>“The advantage of the -1/+1 approach over the 0/0 approach is that it provides an overview of biogenic carbon flows but there could be misleading results with only the impact of the material life cycle stages of production and construction with uptake of biogenic carbon is taken into account and not release at the end-of-life cycle.</w:t>
      </w:r>
      <w:r>
        <w:t xml:space="preserve">” </w:t>
      </w:r>
      <w:proofErr w:type="gramStart"/>
      <w:r w:rsidRPr="00711573">
        <w:rPr>
          <w:lang w:val="fr-FR"/>
        </w:rPr>
        <w:t>Source;</w:t>
      </w:r>
      <w:proofErr w:type="gramEnd"/>
      <w:r w:rsidRPr="00711573">
        <w:rPr>
          <w:lang w:val="fr-FR"/>
        </w:rPr>
        <w:t xml:space="preserve"> </w:t>
      </w:r>
      <w:hyperlink r:id="rId9" w:history="1">
        <w:r w:rsidR="006A1711" w:rsidRPr="00711573">
          <w:rPr>
            <w:rStyle w:val="Hyperlink"/>
            <w:lang w:val="fr-FR"/>
          </w:rPr>
          <w:t>https://blog.2050-materials.com/biogenic-carbon-what-is-is-a-67391f254357</w:t>
        </w:r>
      </w:hyperlink>
    </w:p>
    <w:p w14:paraId="7E330EFC" w14:textId="03853AA8" w:rsidR="00EF5951" w:rsidRDefault="00640E3B" w:rsidP="007C4B64">
      <w:r>
        <w:t>The durability of biogenic carbon is important</w:t>
      </w:r>
      <w:r w:rsidR="00C44710">
        <w:t xml:space="preserve">. The lifespan of a building products </w:t>
      </w:r>
      <w:r w:rsidR="00AB5AE7">
        <w:t>varies</w:t>
      </w:r>
      <w:r w:rsidR="00C44710">
        <w:t xml:space="preserve"> and when a building is decommissioned,</w:t>
      </w:r>
      <w:r w:rsidR="009D110E">
        <w:t xml:space="preserve"> some </w:t>
      </w:r>
      <w:r w:rsidR="00C44710">
        <w:t xml:space="preserve">materials </w:t>
      </w:r>
      <w:r w:rsidR="009D110E">
        <w:t xml:space="preserve">may be recycled, but most </w:t>
      </w:r>
      <w:r w:rsidR="00C44710">
        <w:t>are invariably landfilled.</w:t>
      </w:r>
      <w:r w:rsidR="009D110E">
        <w:t xml:space="preserve"> A recent study outlined in the Journal Nature examined what length of sequestration of biogenic carbon would yield climate benefits: </w:t>
      </w:r>
      <w:r w:rsidR="00EF5951">
        <w:rPr>
          <w:i/>
          <w:iCs/>
        </w:rPr>
        <w:t>“</w:t>
      </w:r>
      <w:r w:rsidR="007C4B64" w:rsidRPr="007C4B64">
        <w:rPr>
          <w:i/>
          <w:iCs/>
        </w:rPr>
        <w:t>Our findings</w:t>
      </w:r>
      <w:r w:rsidR="007C4B64" w:rsidRPr="00EF5951">
        <w:rPr>
          <w:i/>
          <w:iCs/>
        </w:rPr>
        <w:t xml:space="preserve"> </w:t>
      </w:r>
      <w:r w:rsidR="007C4B64" w:rsidRPr="007C4B64">
        <w:rPr>
          <w:i/>
          <w:iCs/>
        </w:rPr>
        <w:t>suggest that a CO2 storage period of less than 1000 years is insufficient for neutralizing remaining</w:t>
      </w:r>
      <w:r w:rsidR="007C4B64" w:rsidRPr="00EF5951">
        <w:rPr>
          <w:i/>
          <w:iCs/>
        </w:rPr>
        <w:t xml:space="preserve"> fossil CO2 emissions under net zero emissions</w:t>
      </w:r>
      <w:r w:rsidR="00EF5951" w:rsidRPr="00EF5951">
        <w:rPr>
          <w:i/>
          <w:iCs/>
        </w:rPr>
        <w:t>.</w:t>
      </w:r>
      <w:r w:rsidR="00EF5951">
        <w:rPr>
          <w:i/>
          <w:iCs/>
        </w:rPr>
        <w:t xml:space="preserve">” </w:t>
      </w:r>
      <w:r w:rsidR="00EF5951" w:rsidRPr="00EF5951">
        <w:t xml:space="preserve">Source: </w:t>
      </w:r>
      <w:hyperlink r:id="rId10" w:history="1">
        <w:r w:rsidR="00EF5951" w:rsidRPr="00E30D68">
          <w:rPr>
            <w:rStyle w:val="Hyperlink"/>
          </w:rPr>
          <w:t>https://www.nature.com/articles/s43247-024-01808-7</w:t>
        </w:r>
      </w:hyperlink>
    </w:p>
    <w:p w14:paraId="209D033A" w14:textId="2052CB7A" w:rsidR="009D110E" w:rsidRDefault="009D110E" w:rsidP="007C4B64">
      <w:proofErr w:type="gramStart"/>
      <w:r>
        <w:t xml:space="preserve">It is clear that </w:t>
      </w:r>
      <w:r w:rsidR="00EF6925">
        <w:t>nearly</w:t>
      </w:r>
      <w:proofErr w:type="gramEnd"/>
      <w:r w:rsidR="00EF6925">
        <w:t xml:space="preserve"> all buildings are not designed to last 1000 years. As such, either biogenic carbon </w:t>
      </w:r>
      <w:r w:rsidR="00901D96">
        <w:t xml:space="preserve">should </w:t>
      </w:r>
      <w:r w:rsidR="00EF6925">
        <w:t xml:space="preserve">not be </w:t>
      </w:r>
      <w:r w:rsidR="00901D96">
        <w:t xml:space="preserve">considered </w:t>
      </w:r>
      <w:r w:rsidR="00EF6925">
        <w:t xml:space="preserve">or </w:t>
      </w:r>
      <w:r w:rsidR="00901D96">
        <w:t xml:space="preserve">for more transparency, LCA Module </w:t>
      </w:r>
      <w:r w:rsidR="00EF6925">
        <w:t>C4 must be included</w:t>
      </w:r>
      <w:r w:rsidR="00901D96">
        <w:t xml:space="preserve"> and emissions associated with end of life shall be included.</w:t>
      </w:r>
    </w:p>
    <w:p w14:paraId="6718C44D" w14:textId="17393BAA" w:rsidR="00E11DAD" w:rsidRPr="00E11DAD" w:rsidRDefault="009A0C21" w:rsidP="00E11DAD">
      <w:r>
        <w:t>This was brought up</w:t>
      </w:r>
      <w:r w:rsidR="00E11DAD" w:rsidRPr="00E11DAD">
        <w:t xml:space="preserve"> </w:t>
      </w:r>
      <w:r w:rsidR="00A14E74" w:rsidRPr="00E11DAD">
        <w:t xml:space="preserve">during </w:t>
      </w:r>
      <w:r w:rsidR="00E11DAD" w:rsidRPr="00E11DAD">
        <w:t>the working group discussion on this topic</w:t>
      </w:r>
      <w:r w:rsidR="00A14E74">
        <w:t>. NAIMA noted that</w:t>
      </w:r>
      <w:r w:rsidR="00E11DAD" w:rsidRPr="00E11DAD">
        <w:t xml:space="preserve"> it was important to at least include C2 and C4 (transportation and disposal stages) as this data is easy to come by- this suggestion was ignored. Estimates for these values should be included as many building products are inert when landfilled, there are some that may have significant emissions when landfilled</w:t>
      </w:r>
      <w:r w:rsidR="001B6411">
        <w:t>, and following best practices any biogenic carbon claimed in Modules A1-A3 would be released in Module C4.</w:t>
      </w:r>
    </w:p>
    <w:p w14:paraId="023A17B3" w14:textId="25FF54C3" w:rsidR="0000630F" w:rsidRDefault="009F56F5" w:rsidP="0000630F">
      <w:pPr>
        <w:rPr>
          <w:b/>
          <w:bCs/>
        </w:rPr>
      </w:pPr>
      <w:r w:rsidRPr="009F56F5">
        <w:rPr>
          <w:b/>
          <w:bCs/>
        </w:rPr>
        <w:t> </w:t>
      </w:r>
    </w:p>
    <w:p w14:paraId="3ADFCCE6" w14:textId="77777777" w:rsidR="000E18FA" w:rsidRDefault="0000630F" w:rsidP="0000630F">
      <w:pPr>
        <w:rPr>
          <w:i/>
          <w:iCs/>
          <w:sz w:val="20"/>
          <w:szCs w:val="20"/>
        </w:rPr>
      </w:pPr>
      <w:r>
        <w:rPr>
          <w:b/>
          <w:bCs/>
        </w:rPr>
        <w:lastRenderedPageBreak/>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1A2E9D07" w14:textId="07A5A430" w:rsidR="00176095" w:rsidRPr="00176095" w:rsidRDefault="00176095" w:rsidP="00176095">
      <w:pPr>
        <w:pStyle w:val="Heading2"/>
        <w:rPr>
          <w:color w:val="auto"/>
        </w:rPr>
      </w:pPr>
      <w:bookmarkStart w:id="0" w:name="_Ref170133520"/>
      <w:bookmarkStart w:id="1" w:name="_Ref170133724"/>
      <w:bookmarkStart w:id="2" w:name="_Toc1354837513"/>
      <w:bookmarkStart w:id="3" w:name="_Toc180680632"/>
      <w:r w:rsidRPr="00176095">
        <w:rPr>
          <w:color w:val="auto"/>
        </w:rPr>
        <w:t>5.2 Scope of Life Cycle Stages</w:t>
      </w:r>
      <w:bookmarkEnd w:id="0"/>
      <w:bookmarkEnd w:id="1"/>
      <w:bookmarkEnd w:id="2"/>
      <w:bookmarkEnd w:id="3"/>
    </w:p>
    <w:p w14:paraId="094AC547" w14:textId="77777777" w:rsidR="00176095" w:rsidRPr="00176095" w:rsidRDefault="00176095" w:rsidP="00176095">
      <w:pPr>
        <w:rPr>
          <w:rFonts w:eastAsiaTheme="minorEastAsia"/>
        </w:rPr>
      </w:pPr>
      <w:r w:rsidRPr="00176095">
        <w:rPr>
          <w:rFonts w:eastAsiaTheme="minorEastAsia"/>
        </w:rPr>
        <w:t xml:space="preserve">The </w:t>
      </w:r>
      <w:r w:rsidRPr="00176095">
        <w:rPr>
          <w:rFonts w:eastAsiaTheme="minorEastAsia"/>
          <w:i/>
        </w:rPr>
        <w:t>system boundary</w:t>
      </w:r>
      <w:r w:rsidRPr="00176095">
        <w:rPr>
          <w:rFonts w:eastAsiaTheme="minorEastAsia"/>
        </w:rPr>
        <w:t xml:space="preserve"> shall address the following </w:t>
      </w:r>
      <w:proofErr w:type="gramStart"/>
      <w:r w:rsidRPr="00176095">
        <w:rPr>
          <w:rFonts w:eastAsiaTheme="minorEastAsia"/>
        </w:rPr>
        <w:t>tier</w:t>
      </w:r>
      <w:proofErr w:type="gramEnd"/>
      <w:r w:rsidRPr="00176095">
        <w:rPr>
          <w:rFonts w:eastAsiaTheme="minorEastAsia"/>
        </w:rPr>
        <w:t xml:space="preserve"> of life-cycle stages</w:t>
      </w:r>
      <w:r w:rsidRPr="00176095">
        <w:rPr>
          <w:rStyle w:val="FootnoteReference"/>
          <w:rFonts w:eastAsiaTheme="minorEastAsia"/>
        </w:rPr>
        <w:footnoteReference w:id="1"/>
      </w:r>
      <w:r w:rsidRPr="00176095">
        <w:rPr>
          <w:rFonts w:eastAsiaTheme="minorEastAsia"/>
        </w:rPr>
        <w:t>:</w:t>
      </w:r>
    </w:p>
    <w:p w14:paraId="147EDCF5" w14:textId="77777777" w:rsidR="00176095" w:rsidRPr="00176095" w:rsidRDefault="00176095" w:rsidP="00176095">
      <w:pPr>
        <w:pStyle w:val="Caption"/>
        <w:keepNext/>
        <w:rPr>
          <w:color w:val="auto"/>
        </w:rPr>
      </w:pPr>
      <w:r w:rsidRPr="00176095">
        <w:rPr>
          <w:color w:val="auto"/>
        </w:rPr>
        <w:t xml:space="preserve">Table </w:t>
      </w:r>
      <w:r w:rsidRPr="00176095">
        <w:rPr>
          <w:color w:val="auto"/>
        </w:rPr>
        <w:fldChar w:fldCharType="begin"/>
      </w:r>
      <w:r w:rsidRPr="00176095">
        <w:rPr>
          <w:color w:val="auto"/>
        </w:rPr>
        <w:instrText>STYLEREF 2 \s</w:instrText>
      </w:r>
      <w:r w:rsidRPr="00176095">
        <w:rPr>
          <w:color w:val="auto"/>
        </w:rPr>
        <w:fldChar w:fldCharType="separate"/>
      </w:r>
      <w:r w:rsidRPr="00176095">
        <w:rPr>
          <w:noProof/>
          <w:color w:val="auto"/>
        </w:rPr>
        <w:t>5.2</w:t>
      </w:r>
      <w:r w:rsidRPr="00176095">
        <w:rPr>
          <w:color w:val="auto"/>
        </w:rPr>
        <w:fldChar w:fldCharType="end"/>
      </w:r>
      <w:r w:rsidRPr="00176095">
        <w:rPr>
          <w:color w:val="auto"/>
        </w:rPr>
        <w:t>.</w:t>
      </w:r>
      <w:r w:rsidRPr="00176095">
        <w:rPr>
          <w:color w:val="auto"/>
        </w:rPr>
        <w:fldChar w:fldCharType="begin"/>
      </w:r>
      <w:r w:rsidRPr="00176095">
        <w:rPr>
          <w:color w:val="auto"/>
        </w:rPr>
        <w:instrText>SEQ Table \* ARABIC \s 2</w:instrText>
      </w:r>
      <w:r w:rsidRPr="00176095">
        <w:rPr>
          <w:color w:val="auto"/>
        </w:rPr>
        <w:fldChar w:fldCharType="separate"/>
      </w:r>
      <w:r w:rsidRPr="00176095">
        <w:rPr>
          <w:noProof/>
          <w:color w:val="auto"/>
        </w:rPr>
        <w:t>1</w:t>
      </w:r>
      <w:r w:rsidRPr="00176095">
        <w:rPr>
          <w:color w:val="auto"/>
        </w:rPr>
        <w:fldChar w:fldCharType="end"/>
      </w:r>
      <w:r w:rsidRPr="00176095">
        <w:rPr>
          <w:color w:val="auto"/>
        </w:rPr>
        <w:t xml:space="preserve"> Scope of Life Cycle Stages</w:t>
      </w:r>
    </w:p>
    <w:tbl>
      <w:tblPr>
        <w:tblStyle w:val="TableGrid"/>
        <w:tblW w:w="0" w:type="auto"/>
        <w:tblLook w:val="04A0" w:firstRow="1" w:lastRow="0" w:firstColumn="1" w:lastColumn="0" w:noHBand="0" w:noVBand="1"/>
      </w:tblPr>
      <w:tblGrid>
        <w:gridCol w:w="3145"/>
        <w:gridCol w:w="6205"/>
      </w:tblGrid>
      <w:tr w:rsidR="00176095" w:rsidRPr="00176095" w14:paraId="1CF95E55" w14:textId="77777777" w:rsidTr="00BD25CE">
        <w:trPr>
          <w:trHeight w:val="300"/>
        </w:trPr>
        <w:tc>
          <w:tcPr>
            <w:tcW w:w="3145" w:type="dxa"/>
          </w:tcPr>
          <w:p w14:paraId="61EF6444" w14:textId="77777777" w:rsidR="00176095" w:rsidRPr="00176095" w:rsidRDefault="00176095" w:rsidP="00BD25CE">
            <w:pPr>
              <w:jc w:val="center"/>
              <w:rPr>
                <w:rFonts w:eastAsiaTheme="minorEastAsia"/>
                <w:b/>
                <w:bCs/>
              </w:rPr>
            </w:pPr>
            <w:r w:rsidRPr="00176095">
              <w:rPr>
                <w:rFonts w:eastAsiaTheme="minorEastAsia"/>
                <w:b/>
                <w:bCs/>
              </w:rPr>
              <w:t>Tier</w:t>
            </w:r>
          </w:p>
        </w:tc>
        <w:tc>
          <w:tcPr>
            <w:tcW w:w="6205" w:type="dxa"/>
          </w:tcPr>
          <w:p w14:paraId="37E6668F" w14:textId="77777777" w:rsidR="00176095" w:rsidRPr="00176095" w:rsidRDefault="00176095" w:rsidP="00BD25CE">
            <w:pPr>
              <w:jc w:val="center"/>
              <w:rPr>
                <w:rFonts w:eastAsiaTheme="minorEastAsia"/>
                <w:b/>
                <w:bCs/>
              </w:rPr>
            </w:pPr>
            <w:r w:rsidRPr="00176095">
              <w:rPr>
                <w:rFonts w:eastAsiaTheme="minorEastAsia"/>
                <w:b/>
                <w:bCs/>
              </w:rPr>
              <w:t>Life-Cycle Stages Included</w:t>
            </w:r>
          </w:p>
        </w:tc>
      </w:tr>
      <w:tr w:rsidR="00176095" w:rsidRPr="00176095" w14:paraId="578B6FA9" w14:textId="77777777" w:rsidTr="00BD25CE">
        <w:trPr>
          <w:trHeight w:val="300"/>
        </w:trPr>
        <w:tc>
          <w:tcPr>
            <w:tcW w:w="3145" w:type="dxa"/>
          </w:tcPr>
          <w:p w14:paraId="25A4A950" w14:textId="77777777" w:rsidR="00176095" w:rsidRPr="00176095" w:rsidRDefault="00176095" w:rsidP="00BD25CE">
            <w:pPr>
              <w:jc w:val="center"/>
              <w:rPr>
                <w:rFonts w:eastAsiaTheme="minorEastAsia"/>
              </w:rPr>
            </w:pPr>
            <w:r w:rsidRPr="00176095">
              <w:rPr>
                <w:rFonts w:eastAsiaTheme="minorEastAsia"/>
              </w:rPr>
              <w:t>I</w:t>
            </w:r>
          </w:p>
        </w:tc>
        <w:tc>
          <w:tcPr>
            <w:tcW w:w="6205" w:type="dxa"/>
          </w:tcPr>
          <w:p w14:paraId="39003203" w14:textId="4C63EB2C" w:rsidR="00176095" w:rsidRPr="00176095" w:rsidRDefault="00176095" w:rsidP="00BD25CE">
            <w:pPr>
              <w:jc w:val="center"/>
              <w:rPr>
                <w:rFonts w:eastAsiaTheme="minorEastAsia"/>
              </w:rPr>
            </w:pPr>
            <w:r w:rsidRPr="00176095">
              <w:rPr>
                <w:rFonts w:eastAsiaTheme="minorEastAsia"/>
              </w:rPr>
              <w:t>Modules A1-A3</w:t>
            </w:r>
            <w:r>
              <w:rPr>
                <w:rFonts w:eastAsiaTheme="minorEastAsia"/>
              </w:rPr>
              <w:t xml:space="preserve">, </w:t>
            </w:r>
            <w:r w:rsidRPr="00176095">
              <w:rPr>
                <w:rFonts w:eastAsiaTheme="minorEastAsia"/>
                <w:color w:val="FF0000"/>
                <w:u w:val="single"/>
              </w:rPr>
              <w:t>C4</w:t>
            </w:r>
          </w:p>
        </w:tc>
      </w:tr>
    </w:tbl>
    <w:p w14:paraId="1B4786AE" w14:textId="77777777" w:rsidR="00176095" w:rsidRPr="00176095" w:rsidRDefault="00176095" w:rsidP="00176095">
      <w:pPr>
        <w:spacing w:before="240"/>
        <w:rPr>
          <w:rFonts w:eastAsiaTheme="minorEastAsia"/>
        </w:rPr>
      </w:pPr>
      <w:r w:rsidRPr="00176095">
        <w:rPr>
          <w:rFonts w:eastAsiaTheme="minorEastAsia"/>
        </w:rPr>
        <w:t xml:space="preserve">The </w:t>
      </w:r>
      <w:r w:rsidRPr="00176095">
        <w:rPr>
          <w:rFonts w:eastAsiaTheme="minorEastAsia"/>
          <w:i/>
        </w:rPr>
        <w:t>system boundary</w:t>
      </w:r>
      <w:r w:rsidRPr="00176095">
        <w:rPr>
          <w:rFonts w:eastAsiaTheme="minorEastAsia"/>
        </w:rPr>
        <w:t xml:space="preserve"> </w:t>
      </w:r>
      <w:proofErr w:type="gramStart"/>
      <w:r w:rsidRPr="00176095">
        <w:rPr>
          <w:rFonts w:eastAsiaTheme="minorEastAsia"/>
        </w:rPr>
        <w:t>shall</w:t>
      </w:r>
      <w:proofErr w:type="gramEnd"/>
      <w:r w:rsidRPr="00176095">
        <w:rPr>
          <w:rFonts w:eastAsiaTheme="minorEastAsia"/>
        </w:rPr>
        <w:t xml:space="preserve"> not include any of the following:</w:t>
      </w:r>
    </w:p>
    <w:p w14:paraId="22068459" w14:textId="28D36988" w:rsidR="00176095" w:rsidRPr="00176095" w:rsidRDefault="00176095" w:rsidP="00176095">
      <w:pPr>
        <w:pStyle w:val="ListParagraph"/>
        <w:numPr>
          <w:ilvl w:val="0"/>
          <w:numId w:val="2"/>
        </w:numPr>
        <w:spacing w:line="259" w:lineRule="auto"/>
        <w:rPr>
          <w:rFonts w:eastAsiaTheme="minorEastAsia"/>
        </w:rPr>
      </w:pPr>
      <w:r w:rsidRPr="00176095">
        <w:rPr>
          <w:rFonts w:eastAsiaTheme="minorEastAsia"/>
        </w:rPr>
        <w:t xml:space="preserve">Quantification of on-site </w:t>
      </w:r>
      <w:r w:rsidRPr="00176095">
        <w:rPr>
          <w:rFonts w:eastAsiaTheme="minorEastAsia"/>
          <w:i/>
        </w:rPr>
        <w:t>biogenic carbon</w:t>
      </w:r>
      <w:r w:rsidRPr="00176095">
        <w:rPr>
          <w:rFonts w:eastAsiaTheme="minorEastAsia"/>
        </w:rPr>
        <w:t xml:space="preserve"> sequestration where carbon flows occur outside of life cycle stages A1-A3</w:t>
      </w:r>
      <w:r w:rsidR="006D4C90">
        <w:rPr>
          <w:rFonts w:eastAsiaTheme="minorEastAsia"/>
        </w:rPr>
        <w:t xml:space="preserve"> </w:t>
      </w:r>
      <w:r w:rsidR="006D4C90" w:rsidRPr="006D4C90">
        <w:rPr>
          <w:rFonts w:eastAsiaTheme="minorEastAsia"/>
          <w:color w:val="FF0000"/>
          <w:u w:val="single"/>
        </w:rPr>
        <w:t>and C4</w:t>
      </w:r>
      <w:r w:rsidRPr="006D4C90">
        <w:rPr>
          <w:rStyle w:val="FootnoteReference"/>
          <w:rFonts w:eastAsiaTheme="minorEastAsia"/>
          <w:color w:val="FF0000"/>
          <w:u w:val="single"/>
        </w:rPr>
        <w:footnoteReference w:id="2"/>
      </w:r>
      <w:r w:rsidRPr="00176095">
        <w:rPr>
          <w:rFonts w:eastAsiaTheme="minorEastAsia"/>
        </w:rPr>
        <w:t xml:space="preserve">, </w:t>
      </w:r>
    </w:p>
    <w:p w14:paraId="6F101A94" w14:textId="77777777" w:rsidR="00176095" w:rsidRPr="00176095" w:rsidRDefault="00176095" w:rsidP="00176095">
      <w:pPr>
        <w:pStyle w:val="ListParagraph"/>
        <w:numPr>
          <w:ilvl w:val="0"/>
          <w:numId w:val="2"/>
        </w:numPr>
        <w:spacing w:line="259" w:lineRule="auto"/>
        <w:rPr>
          <w:rFonts w:eastAsiaTheme="minorEastAsia"/>
        </w:rPr>
      </w:pPr>
      <w:r w:rsidRPr="00176095">
        <w:rPr>
          <w:rFonts w:eastAsiaTheme="minorEastAsia"/>
        </w:rPr>
        <w:t xml:space="preserve">avoided GHG emissions, </w:t>
      </w:r>
    </w:p>
    <w:p w14:paraId="57D88E35" w14:textId="77777777" w:rsidR="00176095" w:rsidRPr="00176095" w:rsidRDefault="00176095" w:rsidP="00176095">
      <w:pPr>
        <w:pStyle w:val="ListParagraph"/>
        <w:numPr>
          <w:ilvl w:val="0"/>
          <w:numId w:val="2"/>
        </w:numPr>
        <w:spacing w:line="259" w:lineRule="auto"/>
        <w:rPr>
          <w:rFonts w:eastAsiaTheme="minorEastAsia"/>
          <w:lang w:val="fr-FR"/>
        </w:rPr>
      </w:pPr>
      <w:proofErr w:type="gramStart"/>
      <w:r w:rsidRPr="00176095">
        <w:rPr>
          <w:rFonts w:eastAsiaTheme="minorEastAsia"/>
          <w:lang w:val="fr-FR"/>
        </w:rPr>
        <w:t>on</w:t>
      </w:r>
      <w:proofErr w:type="gramEnd"/>
      <w:r w:rsidRPr="00176095">
        <w:rPr>
          <w:rFonts w:eastAsiaTheme="minorEastAsia"/>
          <w:lang w:val="fr-FR"/>
        </w:rPr>
        <w:t xml:space="preserve">-site </w:t>
      </w:r>
      <w:proofErr w:type="spellStart"/>
      <w:r w:rsidRPr="00176095">
        <w:rPr>
          <w:rFonts w:eastAsiaTheme="minorEastAsia"/>
          <w:lang w:val="fr-FR"/>
        </w:rPr>
        <w:t>carbon</w:t>
      </w:r>
      <w:proofErr w:type="spellEnd"/>
      <w:r w:rsidRPr="00176095">
        <w:rPr>
          <w:rFonts w:eastAsiaTheme="minorEastAsia"/>
          <w:lang w:val="fr-FR"/>
        </w:rPr>
        <w:t xml:space="preserve"> capture </w:t>
      </w:r>
      <w:proofErr w:type="spellStart"/>
      <w:r w:rsidRPr="00176095">
        <w:rPr>
          <w:rFonts w:eastAsiaTheme="minorEastAsia"/>
          <w:lang w:val="fr-FR"/>
        </w:rPr>
        <w:t>activities</w:t>
      </w:r>
      <w:proofErr w:type="spellEnd"/>
      <w:r w:rsidRPr="00176095">
        <w:rPr>
          <w:rFonts w:eastAsiaTheme="minorEastAsia"/>
          <w:lang w:val="fr-FR"/>
        </w:rPr>
        <w:t xml:space="preserve">, </w:t>
      </w:r>
    </w:p>
    <w:p w14:paraId="29D47D91" w14:textId="77777777" w:rsidR="00176095" w:rsidRPr="00176095" w:rsidRDefault="00176095" w:rsidP="00176095">
      <w:pPr>
        <w:pStyle w:val="ListParagraph"/>
        <w:numPr>
          <w:ilvl w:val="0"/>
          <w:numId w:val="2"/>
        </w:numPr>
        <w:spacing w:line="259" w:lineRule="auto"/>
        <w:rPr>
          <w:rFonts w:eastAsiaTheme="minorEastAsia"/>
        </w:rPr>
      </w:pPr>
      <w:r w:rsidRPr="00176095">
        <w:rPr>
          <w:rFonts w:eastAsiaTheme="minorEastAsia"/>
        </w:rPr>
        <w:t xml:space="preserve">carbon offsets, </w:t>
      </w:r>
    </w:p>
    <w:p w14:paraId="57E1F63F" w14:textId="77777777" w:rsidR="00176095" w:rsidRPr="00176095" w:rsidRDefault="00176095" w:rsidP="00176095">
      <w:pPr>
        <w:pStyle w:val="ListParagraph"/>
        <w:numPr>
          <w:ilvl w:val="0"/>
          <w:numId w:val="2"/>
        </w:numPr>
        <w:spacing w:line="259" w:lineRule="auto"/>
        <w:rPr>
          <w:rFonts w:eastAsiaTheme="minorEastAsia"/>
        </w:rPr>
      </w:pPr>
      <w:r w:rsidRPr="00176095">
        <w:rPr>
          <w:rFonts w:eastAsiaTheme="minorEastAsia"/>
        </w:rPr>
        <w:t xml:space="preserve">carbon credits, </w:t>
      </w:r>
    </w:p>
    <w:p w14:paraId="12B0AF2C" w14:textId="77777777" w:rsidR="00176095" w:rsidRPr="00176095" w:rsidRDefault="00176095" w:rsidP="00176095">
      <w:pPr>
        <w:pStyle w:val="ListParagraph"/>
        <w:numPr>
          <w:ilvl w:val="0"/>
          <w:numId w:val="2"/>
        </w:numPr>
        <w:spacing w:line="259" w:lineRule="auto"/>
        <w:rPr>
          <w:rFonts w:eastAsiaTheme="minorEastAsia"/>
        </w:rPr>
      </w:pPr>
      <w:r w:rsidRPr="00176095">
        <w:rPr>
          <w:rFonts w:eastAsiaTheme="minorEastAsia"/>
        </w:rPr>
        <w:t xml:space="preserve">renewable energy credits, or </w:t>
      </w:r>
    </w:p>
    <w:p w14:paraId="7968C280" w14:textId="393B6927" w:rsidR="00176095" w:rsidRPr="00176095" w:rsidRDefault="00176095" w:rsidP="00176095">
      <w:pPr>
        <w:pStyle w:val="ListParagraph"/>
        <w:numPr>
          <w:ilvl w:val="0"/>
          <w:numId w:val="2"/>
        </w:numPr>
        <w:spacing w:line="259" w:lineRule="auto"/>
        <w:rPr>
          <w:rFonts w:eastAsiaTheme="minorEastAsia"/>
        </w:rPr>
      </w:pPr>
      <w:r w:rsidRPr="00176095">
        <w:rPr>
          <w:rFonts w:eastAsiaTheme="minorEastAsia"/>
        </w:rPr>
        <w:t>other environmental attribute crediting mechanisms.</w:t>
      </w:r>
    </w:p>
    <w:sectPr w:rsidR="00176095" w:rsidRPr="0017609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423CB" w14:textId="77777777" w:rsidR="008360C9" w:rsidRDefault="008360C9" w:rsidP="00237923">
      <w:pPr>
        <w:spacing w:after="0" w:line="240" w:lineRule="auto"/>
      </w:pPr>
      <w:r>
        <w:separator/>
      </w:r>
    </w:p>
  </w:endnote>
  <w:endnote w:type="continuationSeparator" w:id="0">
    <w:p w14:paraId="19C136C0" w14:textId="77777777" w:rsidR="008360C9" w:rsidRDefault="008360C9"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ADD54" w14:textId="77777777" w:rsidR="008360C9" w:rsidRDefault="008360C9" w:rsidP="00237923">
      <w:pPr>
        <w:spacing w:after="0" w:line="240" w:lineRule="auto"/>
      </w:pPr>
      <w:r>
        <w:separator/>
      </w:r>
    </w:p>
  </w:footnote>
  <w:footnote w:type="continuationSeparator" w:id="0">
    <w:p w14:paraId="3BCCC8D3" w14:textId="77777777" w:rsidR="008360C9" w:rsidRDefault="008360C9" w:rsidP="00237923">
      <w:pPr>
        <w:spacing w:after="0" w:line="240" w:lineRule="auto"/>
      </w:pPr>
      <w:r>
        <w:continuationSeparator/>
      </w:r>
    </w:p>
  </w:footnote>
  <w:footnote w:id="1">
    <w:p w14:paraId="7F87EB82" w14:textId="77777777" w:rsidR="00176095" w:rsidRPr="00176095" w:rsidRDefault="00176095" w:rsidP="00176095">
      <w:pPr>
        <w:pStyle w:val="FootnoteText"/>
      </w:pPr>
      <w:r w:rsidRPr="00176095">
        <w:rPr>
          <w:rStyle w:val="FootnoteReference"/>
        </w:rPr>
        <w:footnoteRef/>
      </w:r>
      <w:r w:rsidRPr="00176095">
        <w:t xml:space="preserve"> </w:t>
      </w:r>
      <w:r w:rsidRPr="00176095">
        <w:rPr>
          <w:rFonts w:eastAsia="Source Sans Pro" w:cs="Source Sans Pro"/>
        </w:rPr>
        <w:t>(Informative Note) Subsequent tiers incorporating additional life cycle stages are intended to be added in future versions of this Standard.</w:t>
      </w:r>
    </w:p>
  </w:footnote>
  <w:footnote w:id="2">
    <w:p w14:paraId="1C62C8AC" w14:textId="77777777" w:rsidR="00176095" w:rsidRPr="00176095" w:rsidRDefault="00176095" w:rsidP="00176095">
      <w:pPr>
        <w:pStyle w:val="FootnoteText"/>
      </w:pPr>
      <w:r w:rsidRPr="00176095">
        <w:rPr>
          <w:rStyle w:val="FootnoteReference"/>
        </w:rPr>
        <w:footnoteRef/>
      </w:r>
      <w:r w:rsidRPr="00176095">
        <w:t xml:space="preserve"> (Informative Note) Examples of this include the carbon sequestered by trees planted on site and other landscaping.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10FB"/>
    <w:multiLevelType w:val="multilevel"/>
    <w:tmpl w:val="4F70DA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9D336A"/>
    <w:multiLevelType w:val="hybridMultilevel"/>
    <w:tmpl w:val="6D6C4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E39B1"/>
    <w:multiLevelType w:val="multilevel"/>
    <w:tmpl w:val="0E563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98377596">
    <w:abstractNumId w:val="2"/>
    <w:lvlOverride w:ilvl="0">
      <w:startOverride w:val="1"/>
    </w:lvlOverride>
  </w:num>
  <w:num w:numId="2" w16cid:durableId="625698953">
    <w:abstractNumId w:val="1"/>
  </w:num>
  <w:num w:numId="3" w16cid:durableId="1472868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351A"/>
    <w:rsid w:val="0000630F"/>
    <w:rsid w:val="00036584"/>
    <w:rsid w:val="00055E1A"/>
    <w:rsid w:val="000E18FA"/>
    <w:rsid w:val="00150006"/>
    <w:rsid w:val="00176095"/>
    <w:rsid w:val="001B6411"/>
    <w:rsid w:val="001C15C4"/>
    <w:rsid w:val="001C3EE4"/>
    <w:rsid w:val="002065A9"/>
    <w:rsid w:val="002377BD"/>
    <w:rsid w:val="00237923"/>
    <w:rsid w:val="00255E22"/>
    <w:rsid w:val="002E7CE2"/>
    <w:rsid w:val="003848BA"/>
    <w:rsid w:val="003A1E87"/>
    <w:rsid w:val="003B35AC"/>
    <w:rsid w:val="003D696D"/>
    <w:rsid w:val="003E7CE1"/>
    <w:rsid w:val="00435B8A"/>
    <w:rsid w:val="004D1AF6"/>
    <w:rsid w:val="00553D0D"/>
    <w:rsid w:val="005806F4"/>
    <w:rsid w:val="005C1477"/>
    <w:rsid w:val="005C6A8C"/>
    <w:rsid w:val="005F090C"/>
    <w:rsid w:val="00621A6A"/>
    <w:rsid w:val="00624F68"/>
    <w:rsid w:val="00640E3B"/>
    <w:rsid w:val="006A1711"/>
    <w:rsid w:val="006C231A"/>
    <w:rsid w:val="006D4C90"/>
    <w:rsid w:val="00707AC3"/>
    <w:rsid w:val="00711573"/>
    <w:rsid w:val="007C4B64"/>
    <w:rsid w:val="00820631"/>
    <w:rsid w:val="008360C9"/>
    <w:rsid w:val="00894EF6"/>
    <w:rsid w:val="008C2F70"/>
    <w:rsid w:val="00901D96"/>
    <w:rsid w:val="00924FDA"/>
    <w:rsid w:val="009A0C21"/>
    <w:rsid w:val="009D110E"/>
    <w:rsid w:val="009E149D"/>
    <w:rsid w:val="009F56F5"/>
    <w:rsid w:val="00A14E74"/>
    <w:rsid w:val="00A519E2"/>
    <w:rsid w:val="00AB5AE7"/>
    <w:rsid w:val="00AB660B"/>
    <w:rsid w:val="00AB6728"/>
    <w:rsid w:val="00AF4A5A"/>
    <w:rsid w:val="00B41720"/>
    <w:rsid w:val="00BB4D62"/>
    <w:rsid w:val="00BB67C2"/>
    <w:rsid w:val="00C04FBE"/>
    <w:rsid w:val="00C44710"/>
    <w:rsid w:val="00C74A06"/>
    <w:rsid w:val="00D824DE"/>
    <w:rsid w:val="00DC2D2E"/>
    <w:rsid w:val="00E11DAD"/>
    <w:rsid w:val="00E159E5"/>
    <w:rsid w:val="00E2770B"/>
    <w:rsid w:val="00E8170C"/>
    <w:rsid w:val="00EB17C3"/>
    <w:rsid w:val="00EF236F"/>
    <w:rsid w:val="00EF5951"/>
    <w:rsid w:val="00EF6925"/>
    <w:rsid w:val="00F10145"/>
    <w:rsid w:val="00F27493"/>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Hyperlink">
    <w:name w:val="Hyperlink"/>
    <w:basedOn w:val="DefaultParagraphFont"/>
    <w:uiPriority w:val="99"/>
    <w:unhideWhenUsed/>
    <w:rsid w:val="003B35AC"/>
    <w:rPr>
      <w:color w:val="467886" w:themeColor="hyperlink"/>
      <w:u w:val="single"/>
    </w:rPr>
  </w:style>
  <w:style w:type="character" w:styleId="UnresolvedMention">
    <w:name w:val="Unresolved Mention"/>
    <w:basedOn w:val="DefaultParagraphFont"/>
    <w:uiPriority w:val="99"/>
    <w:semiHidden/>
    <w:unhideWhenUsed/>
    <w:rsid w:val="003B35AC"/>
    <w:rPr>
      <w:color w:val="605E5C"/>
      <w:shd w:val="clear" w:color="auto" w:fill="E1DFDD"/>
    </w:rPr>
  </w:style>
  <w:style w:type="table" w:styleId="TableGrid">
    <w:name w:val="Table Grid"/>
    <w:basedOn w:val="TableNormal"/>
    <w:uiPriority w:val="39"/>
    <w:rsid w:val="0017609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6095"/>
    <w:pPr>
      <w:spacing w:after="200" w:line="240" w:lineRule="auto"/>
    </w:pPr>
    <w:rPr>
      <w:rFonts w:ascii="Source Sans Pro" w:hAnsi="Source Sans Pro"/>
      <w:i/>
      <w:iCs/>
      <w:color w:val="000000" w:themeColor="text1"/>
      <w:kern w:val="0"/>
      <w:sz w:val="18"/>
      <w:szCs w:val="18"/>
      <w14:ligatures w14:val="none"/>
    </w:rPr>
  </w:style>
  <w:style w:type="paragraph" w:styleId="FootnoteText">
    <w:name w:val="footnote text"/>
    <w:basedOn w:val="Normal"/>
    <w:link w:val="FootnoteTextChar"/>
    <w:uiPriority w:val="99"/>
    <w:unhideWhenUsed/>
    <w:rsid w:val="00176095"/>
    <w:pPr>
      <w:spacing w:after="0" w:line="240" w:lineRule="auto"/>
    </w:pPr>
    <w:rPr>
      <w:rFonts w:ascii="Source Sans Pro" w:hAnsi="Source Sans Pro"/>
      <w:kern w:val="0"/>
      <w:sz w:val="20"/>
      <w:szCs w:val="20"/>
      <w14:ligatures w14:val="none"/>
    </w:rPr>
  </w:style>
  <w:style w:type="character" w:customStyle="1" w:styleId="FootnoteTextChar">
    <w:name w:val="Footnote Text Char"/>
    <w:basedOn w:val="DefaultParagraphFont"/>
    <w:link w:val="FootnoteText"/>
    <w:uiPriority w:val="99"/>
    <w:rsid w:val="00176095"/>
    <w:rPr>
      <w:rFonts w:ascii="Source Sans Pro" w:hAnsi="Source Sans Pro"/>
      <w:kern w:val="0"/>
      <w:sz w:val="20"/>
      <w:szCs w:val="20"/>
      <w14:ligatures w14:val="none"/>
    </w:rPr>
  </w:style>
  <w:style w:type="character" w:styleId="FootnoteReference">
    <w:name w:val="footnote reference"/>
    <w:basedOn w:val="DefaultParagraphFont"/>
    <w:uiPriority w:val="99"/>
    <w:semiHidden/>
    <w:unhideWhenUsed/>
    <w:rsid w:val="001760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13881">
      <w:bodyDiv w:val="1"/>
      <w:marLeft w:val="0"/>
      <w:marRight w:val="0"/>
      <w:marTop w:val="0"/>
      <w:marBottom w:val="0"/>
      <w:divBdr>
        <w:top w:val="none" w:sz="0" w:space="0" w:color="auto"/>
        <w:left w:val="none" w:sz="0" w:space="0" w:color="auto"/>
        <w:bottom w:val="none" w:sz="0" w:space="0" w:color="auto"/>
        <w:right w:val="none" w:sz="0" w:space="0" w:color="auto"/>
      </w:divBdr>
    </w:div>
    <w:div w:id="1423258891">
      <w:bodyDiv w:val="1"/>
      <w:marLeft w:val="0"/>
      <w:marRight w:val="0"/>
      <w:marTop w:val="0"/>
      <w:marBottom w:val="0"/>
      <w:divBdr>
        <w:top w:val="none" w:sz="0" w:space="0" w:color="auto"/>
        <w:left w:val="none" w:sz="0" w:space="0" w:color="auto"/>
        <w:bottom w:val="none" w:sz="0" w:space="0" w:color="auto"/>
        <w:right w:val="none" w:sz="0" w:space="0" w:color="auto"/>
      </w:divBdr>
    </w:div>
    <w:div w:id="1451582528">
      <w:bodyDiv w:val="1"/>
      <w:marLeft w:val="0"/>
      <w:marRight w:val="0"/>
      <w:marTop w:val="0"/>
      <w:marBottom w:val="0"/>
      <w:divBdr>
        <w:top w:val="none" w:sz="0" w:space="0" w:color="auto"/>
        <w:left w:val="none" w:sz="0" w:space="0" w:color="auto"/>
        <w:bottom w:val="none" w:sz="0" w:space="0" w:color="auto"/>
        <w:right w:val="none" w:sz="0" w:space="0" w:color="auto"/>
      </w:divBdr>
    </w:div>
    <w:div w:id="15249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nature.com/articles/s43247-024-01808-7" TargetMode="External"/><Relationship Id="rId4" Type="http://schemas.openxmlformats.org/officeDocument/2006/relationships/styles" Target="styles.xml"/><Relationship Id="rId9" Type="http://schemas.openxmlformats.org/officeDocument/2006/relationships/hyperlink" Target="https://blog.2050-materials.com/biogenic-carbon-what-is-is-a-67391f254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Charlie Haack</cp:lastModifiedBy>
  <cp:revision>24</cp:revision>
  <dcterms:created xsi:type="dcterms:W3CDTF">2025-01-20T04:33:00Z</dcterms:created>
  <dcterms:modified xsi:type="dcterms:W3CDTF">2025-01-21T19:53:00Z</dcterms:modified>
</cp:coreProperties>
</file>