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Arial" w:cs="Arial" w:eastAsia="Arial" w:hAnsi="Arial"/>
          <w:i w:val="1"/>
          <w:color w:val="58595b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95b"/>
          <w:sz w:val="18"/>
          <w:szCs w:val="18"/>
          <w:rtl w:val="0"/>
        </w:rPr>
        <w:t xml:space="preserve">P.31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Arial" w:cs="Arial" w:eastAsia="Arial" w:hAnsi="Arial"/>
          <w:b w:val="1"/>
          <w:i w:val="1"/>
          <w:color w:val="58595b"/>
          <w:sz w:val="30"/>
          <w:szCs w:val="30"/>
          <w:vertAlign w:val="superscript"/>
        </w:rPr>
      </w:pPr>
      <w:r w:rsidDel="00000000" w:rsidR="00000000" w:rsidRPr="00000000">
        <w:rPr>
          <w:rFonts w:ascii="Arial" w:cs="Arial" w:eastAsia="Arial" w:hAnsi="Arial"/>
          <w:i w:val="1"/>
          <w:color w:val="58595b"/>
          <w:sz w:val="18"/>
          <w:szCs w:val="18"/>
          <w:rtl w:val="0"/>
        </w:rPr>
        <w:t xml:space="preserve">Table 10.1.5 MEP Components Default GWP Values</w:t>
      </w:r>
      <w:r w:rsidDel="00000000" w:rsidR="00000000" w:rsidRPr="00000000">
        <w:rPr>
          <w:rFonts w:ascii="Arial" w:cs="Arial" w:eastAsia="Arial" w:hAnsi="Arial"/>
          <w:b w:val="1"/>
          <w:i w:val="1"/>
          <w:color w:val="58595b"/>
          <w:sz w:val="30"/>
          <w:szCs w:val="30"/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note should be added to provide some clarification around assessing a “shower/bath combo” as a bathtub only, and not as 1 bathtub and 1 shower.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4740"/>
        <w:gridCol w:w="1155"/>
        <w:gridCol w:w="1920"/>
        <w:tblGridChange w:id="0">
          <w:tblGrid>
            <w:gridCol w:w="1320"/>
            <w:gridCol w:w="4740"/>
            <w:gridCol w:w="1155"/>
            <w:gridCol w:w="192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Plumbing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Toilet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Plumbing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Lav Sink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Plumbing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56.7994545454545" w:lineRule="auto"/>
              <w:rPr>
                <w:rFonts w:ascii="Arial" w:cs="Arial" w:eastAsia="Arial" w:hAnsi="Arial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Bathtub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j </w:t>
            </w:r>
            <w:r w:rsidDel="00000000" w:rsidR="00000000" w:rsidRPr="00000000">
              <w:rPr>
                <w:rFonts w:ascii="Arial" w:cs="Arial" w:eastAsia="Arial" w:hAnsi="Arial"/>
                <w:color w:val="9900ff"/>
                <w:sz w:val="16"/>
                <w:szCs w:val="16"/>
                <w:rtl w:val="0"/>
              </w:rPr>
              <w:t xml:space="preserve">[A1]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Plumbing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Shower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56.7994545454545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Each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99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9900ff"/>
          <w:sz w:val="16"/>
          <w:szCs w:val="16"/>
          <w:rtl w:val="0"/>
        </w:rPr>
        <w:t xml:space="preserve"> [A1]</w:t>
      </w:r>
      <w:r w:rsidDel="00000000" w:rsidR="00000000" w:rsidRPr="00000000">
        <w:rPr>
          <w:rFonts w:ascii="Arial" w:cs="Arial" w:eastAsia="Arial" w:hAnsi="Arial"/>
          <w:color w:val="9900ff"/>
          <w:sz w:val="20"/>
          <w:szCs w:val="20"/>
          <w:rtl w:val="0"/>
        </w:rPr>
        <w:t xml:space="preserve">Bathtub/shower should be assess as bathtub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79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79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79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BU4g0ep58prQrzUSYL6bVgH4g==">CgMxLjA4AHIhMWx6dzdYNXhVMF93MXVmVUVCcGw1d2pZU0dTYmlyR1Zm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