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2C71DF7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 w:rsidR="00A0081F">
        <w:rPr>
          <w:b/>
          <w:bCs/>
        </w:rPr>
        <w:t>(Page 15; Section 5.4; Objection; Technical)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23A17B3" w14:textId="526B4A54" w:rsidR="0000630F" w:rsidRPr="00AA330F" w:rsidRDefault="00DF14FE" w:rsidP="0000630F">
      <w:pPr>
        <w:rPr>
          <w:sz w:val="22"/>
          <w:szCs w:val="22"/>
        </w:rPr>
      </w:pPr>
      <w:r w:rsidRPr="00166CF3">
        <w:rPr>
          <w:b/>
          <w:bCs/>
          <w:sz w:val="22"/>
          <w:szCs w:val="22"/>
        </w:rPr>
        <w:t>Comment #</w:t>
      </w:r>
      <w:r w:rsidR="00D62FA2">
        <w:rPr>
          <w:b/>
          <w:bCs/>
          <w:sz w:val="22"/>
          <w:szCs w:val="22"/>
        </w:rPr>
        <w:t>4</w:t>
      </w:r>
      <w:r w:rsidRPr="00AA330F">
        <w:rPr>
          <w:sz w:val="22"/>
          <w:szCs w:val="22"/>
        </w:rPr>
        <w:t xml:space="preserve">:  </w:t>
      </w:r>
      <w:r w:rsidR="00361512">
        <w:rPr>
          <w:sz w:val="22"/>
          <w:szCs w:val="22"/>
        </w:rPr>
        <w:t xml:space="preserve">Section 5.4 and Table 5.4.1 appear to be mislabeled.  This section </w:t>
      </w:r>
      <w:proofErr w:type="gramStart"/>
      <w:r w:rsidR="00361512">
        <w:rPr>
          <w:sz w:val="22"/>
          <w:szCs w:val="22"/>
        </w:rPr>
        <w:t>actually doesn’t</w:t>
      </w:r>
      <w:proofErr w:type="gramEnd"/>
      <w:r w:rsidR="00361512">
        <w:rPr>
          <w:sz w:val="22"/>
          <w:szCs w:val="22"/>
        </w:rPr>
        <w:t xml:space="preserve"> seem to establish a minimum assessment</w:t>
      </w:r>
      <w:r w:rsidR="00EF114B">
        <w:rPr>
          <w:sz w:val="22"/>
          <w:szCs w:val="22"/>
        </w:rPr>
        <w:t>. It</w:t>
      </w:r>
      <w:r w:rsidR="00361512">
        <w:rPr>
          <w:sz w:val="22"/>
          <w:szCs w:val="22"/>
        </w:rPr>
        <w:t xml:space="preserve"> creates a standardized </w:t>
      </w:r>
      <w:r w:rsidR="00EF114B">
        <w:rPr>
          <w:sz w:val="22"/>
          <w:szCs w:val="22"/>
        </w:rPr>
        <w:t xml:space="preserve">limited (or maximum) </w:t>
      </w:r>
      <w:r w:rsidR="00361512">
        <w:rPr>
          <w:sz w:val="22"/>
          <w:szCs w:val="22"/>
        </w:rPr>
        <w:t xml:space="preserve">scope of assessment </w:t>
      </w:r>
      <w:r w:rsidR="00EF114B">
        <w:rPr>
          <w:sz w:val="22"/>
          <w:szCs w:val="22"/>
        </w:rPr>
        <w:t xml:space="preserve">with </w:t>
      </w:r>
      <w:r w:rsidR="00411DAF">
        <w:rPr>
          <w:sz w:val="22"/>
          <w:szCs w:val="22"/>
        </w:rPr>
        <w:t xml:space="preserve">required </w:t>
      </w:r>
      <w:r w:rsidR="00361512">
        <w:rPr>
          <w:sz w:val="22"/>
          <w:szCs w:val="22"/>
        </w:rPr>
        <w:t xml:space="preserve">exclusions.  </w:t>
      </w:r>
      <w:proofErr w:type="gramStart"/>
      <w:r w:rsidR="00EF114B">
        <w:rPr>
          <w:sz w:val="22"/>
          <w:szCs w:val="22"/>
        </w:rPr>
        <w:t>But,</w:t>
      </w:r>
      <w:proofErr w:type="gramEnd"/>
      <w:r w:rsidR="00EF114B">
        <w:rPr>
          <w:sz w:val="22"/>
          <w:szCs w:val="22"/>
        </w:rPr>
        <w:t xml:space="preserve"> </w:t>
      </w:r>
      <w:r w:rsidR="00361512">
        <w:rPr>
          <w:sz w:val="22"/>
          <w:szCs w:val="22"/>
        </w:rPr>
        <w:t>the standard should not prevent (or at least attempt to prevent) a user from doing a more complete (broader scope)</w:t>
      </w:r>
      <w:r w:rsidR="00EF114B">
        <w:rPr>
          <w:sz w:val="22"/>
          <w:szCs w:val="22"/>
        </w:rPr>
        <w:t xml:space="preserve"> and less biased</w:t>
      </w:r>
      <w:r w:rsidR="00361512">
        <w:rPr>
          <w:sz w:val="22"/>
          <w:szCs w:val="22"/>
        </w:rPr>
        <w:t xml:space="preserve"> assessment to include materials that are </w:t>
      </w:r>
      <w:r w:rsidR="00EF114B">
        <w:rPr>
          <w:sz w:val="22"/>
          <w:szCs w:val="22"/>
        </w:rPr>
        <w:t>excluded in Appendix 10.4.1</w:t>
      </w:r>
      <w:r w:rsidR="00361512">
        <w:rPr>
          <w:sz w:val="22"/>
          <w:szCs w:val="22"/>
        </w:rPr>
        <w:t>.  This is mainly an issue of properly declaring what is</w:t>
      </w:r>
      <w:r w:rsidR="00EF114B">
        <w:rPr>
          <w:sz w:val="22"/>
          <w:szCs w:val="22"/>
        </w:rPr>
        <w:t xml:space="preserve"> included in the analysis and what is not</w:t>
      </w:r>
      <w:r w:rsidR="00361512">
        <w:rPr>
          <w:sz w:val="22"/>
          <w:szCs w:val="22"/>
        </w:rPr>
        <w:t>.  While it appears that the standard is attempting to simplify analysis and standardize results by creating an incomplete</w:t>
      </w:r>
      <w:r w:rsidR="00EF114B">
        <w:rPr>
          <w:sz w:val="22"/>
          <w:szCs w:val="22"/>
        </w:rPr>
        <w:t xml:space="preserve"> limited</w:t>
      </w:r>
      <w:r w:rsidR="00361512">
        <w:rPr>
          <w:sz w:val="22"/>
          <w:szCs w:val="22"/>
        </w:rPr>
        <w:t xml:space="preserve"> scope of analysis, this </w:t>
      </w:r>
      <w:r w:rsidR="00411DAF">
        <w:rPr>
          <w:sz w:val="22"/>
          <w:szCs w:val="22"/>
        </w:rPr>
        <w:t xml:space="preserve">standardized result </w:t>
      </w:r>
      <w:r w:rsidR="00361512">
        <w:rPr>
          <w:sz w:val="22"/>
          <w:szCs w:val="22"/>
        </w:rPr>
        <w:t>can be reported while also allowing users to do a more complete analysis and report those results.</w:t>
      </w:r>
      <w:r w:rsidR="00EF114B">
        <w:rPr>
          <w:sz w:val="22"/>
          <w:szCs w:val="22"/>
        </w:rPr>
        <w:t xml:space="preserve">  This change, if accepted, will need to be coordinated with changes to reporting requirements in Section 8.</w:t>
      </w:r>
    </w:p>
    <w:p w14:paraId="067B6285" w14:textId="77777777" w:rsidR="00087D8B" w:rsidRPr="00166CF3" w:rsidRDefault="00087D8B" w:rsidP="0000630F">
      <w:pPr>
        <w:rPr>
          <w:b/>
          <w:bCs/>
          <w:sz w:val="22"/>
          <w:szCs w:val="22"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BC6F65C" w14:textId="403A33D3" w:rsidR="00361512" w:rsidRPr="006D00C9" w:rsidRDefault="00361512" w:rsidP="00361512">
      <w:pPr>
        <w:pStyle w:val="Heading2"/>
        <w:rPr>
          <w:color w:val="FF0000"/>
          <w:u w:val="single"/>
        </w:rPr>
      </w:pPr>
      <w:bookmarkStart w:id="0" w:name="_Ref170134261"/>
      <w:bookmarkStart w:id="1" w:name="_Ref170134658"/>
      <w:bookmarkStart w:id="2" w:name="_Toc386091114"/>
      <w:bookmarkStart w:id="3" w:name="_Toc180680634"/>
      <w:r>
        <w:rPr>
          <w:color w:val="FF0000"/>
          <w:u w:val="single"/>
        </w:rPr>
        <w:t xml:space="preserve">5.4 </w:t>
      </w:r>
      <w:r w:rsidRPr="00361512">
        <w:rPr>
          <w:color w:val="auto"/>
          <w:u w:val="double"/>
        </w:rPr>
        <w:t>Standardized Scope</w:t>
      </w:r>
      <w:r>
        <w:rPr>
          <w:color w:val="auto"/>
          <w:u w:val="double"/>
        </w:rPr>
        <w:t xml:space="preserve"> of</w:t>
      </w:r>
      <w:r w:rsidRPr="00361512">
        <w:rPr>
          <w:color w:val="auto"/>
          <w:u w:val="single"/>
        </w:rPr>
        <w:t xml:space="preserve"> </w:t>
      </w:r>
      <w:r w:rsidRPr="00361512">
        <w:rPr>
          <w:strike/>
          <w:color w:val="FF0000"/>
          <w:u w:val="single"/>
        </w:rPr>
        <w:t xml:space="preserve">Minimum </w:t>
      </w:r>
      <w:r w:rsidRPr="006D00C9">
        <w:rPr>
          <w:color w:val="FF0000"/>
          <w:u w:val="single"/>
        </w:rPr>
        <w:t>Assessed</w:t>
      </w:r>
      <w:r>
        <w:rPr>
          <w:color w:val="FF0000"/>
          <w:u w:val="single"/>
        </w:rPr>
        <w:t xml:space="preserve"> </w:t>
      </w:r>
      <w:r w:rsidRPr="00361512">
        <w:rPr>
          <w:color w:val="auto"/>
          <w:u w:val="double"/>
        </w:rPr>
        <w:t>and Excluded</w:t>
      </w:r>
      <w:r w:rsidRPr="00361512">
        <w:rPr>
          <w:color w:val="auto"/>
          <w:u w:val="single"/>
        </w:rPr>
        <w:t xml:space="preserve"> </w:t>
      </w:r>
      <w:r w:rsidRPr="006D00C9">
        <w:rPr>
          <w:color w:val="FF0000"/>
          <w:u w:val="single"/>
        </w:rPr>
        <w:t>Products</w:t>
      </w:r>
      <w:bookmarkEnd w:id="0"/>
      <w:bookmarkEnd w:id="1"/>
      <w:bookmarkEnd w:id="2"/>
      <w:bookmarkEnd w:id="3"/>
    </w:p>
    <w:p w14:paraId="1AE616FE" w14:textId="6BE3EBCE" w:rsidR="00361512" w:rsidRPr="006D00C9" w:rsidRDefault="00361512" w:rsidP="00361512">
      <w:pPr>
        <w:spacing w:line="257" w:lineRule="auto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Within the </w:t>
      </w:r>
      <w:r w:rsidRPr="006D00C9">
        <w:rPr>
          <w:rFonts w:eastAsiaTheme="minorEastAsia"/>
          <w:i/>
          <w:iCs/>
          <w:color w:val="FF0000"/>
          <w:u w:val="single"/>
        </w:rPr>
        <w:t>system boundary</w:t>
      </w:r>
      <w:r w:rsidRPr="006D00C9">
        <w:rPr>
          <w:rFonts w:eastAsiaTheme="minorEastAsia"/>
          <w:color w:val="FF0000"/>
          <w:u w:val="single"/>
        </w:rPr>
        <w:t>, all building products</w:t>
      </w:r>
      <w:r w:rsidRPr="006D00C9">
        <w:rPr>
          <w:rFonts w:eastAsiaTheme="minorEastAsia"/>
          <w:i/>
          <w:iCs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>listed in</w:t>
      </w:r>
      <w:r w:rsidR="00F37E1D">
        <w:rPr>
          <w:rFonts w:eastAsiaTheme="minorEastAsia"/>
          <w:color w:val="FF0000"/>
          <w:u w:val="single"/>
        </w:rPr>
        <w:t xml:space="preserve"> Table 5.4.1</w:t>
      </w:r>
      <w:r w:rsidRPr="006D00C9">
        <w:rPr>
          <w:rFonts w:eastAsiaTheme="minorEastAsia"/>
          <w:color w:val="FF0000"/>
          <w:u w:val="single"/>
        </w:rPr>
        <w:t xml:space="preserve"> and identified on the </w:t>
      </w:r>
      <w:r w:rsidRPr="006D00C9">
        <w:rPr>
          <w:rFonts w:eastAsiaTheme="minorEastAsia"/>
          <w:i/>
          <w:iCs/>
          <w:color w:val="FF0000"/>
          <w:u w:val="single"/>
        </w:rPr>
        <w:t xml:space="preserve">construction documents </w:t>
      </w:r>
      <w:r w:rsidRPr="006D00C9">
        <w:rPr>
          <w:rFonts w:eastAsiaTheme="minorEastAsia"/>
          <w:color w:val="FF0000"/>
          <w:u w:val="single"/>
        </w:rPr>
        <w:t xml:space="preserve">shall be included in the </w:t>
      </w:r>
      <w:r w:rsidRPr="006D00C9">
        <w:rPr>
          <w:rFonts w:eastAsiaTheme="minorEastAsia"/>
          <w:i/>
          <w:iCs/>
          <w:color w:val="FF0000"/>
          <w:u w:val="single"/>
        </w:rPr>
        <w:t>system boundary</w:t>
      </w:r>
      <w:r w:rsidRPr="006D00C9">
        <w:rPr>
          <w:rFonts w:eastAsiaTheme="minorEastAsia"/>
          <w:color w:val="FF0000"/>
          <w:u w:val="single"/>
        </w:rPr>
        <w:t xml:space="preserve"> and addressed in the calculations. </w:t>
      </w:r>
    </w:p>
    <w:p w14:paraId="080CD396" w14:textId="01FF43F3" w:rsidR="00361512" w:rsidRPr="006D00C9" w:rsidRDefault="00361512" w:rsidP="00361512">
      <w:pPr>
        <w:spacing w:line="257" w:lineRule="auto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>All building elements identified as exclusions in Appendix 10.4.1 shall not be addressed in the calculations in accordance with Section</w:t>
      </w:r>
      <w:r w:rsidR="00F37E1D">
        <w:rPr>
          <w:rFonts w:eastAsiaTheme="minorEastAsia"/>
          <w:color w:val="FF0000"/>
          <w:u w:val="single"/>
        </w:rPr>
        <w:t xml:space="preserve"> 6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361512">
        <w:rPr>
          <w:rFonts w:eastAsiaTheme="minorEastAsia"/>
          <w:u w:val="double"/>
        </w:rPr>
        <w:t xml:space="preserve">unless the report </w:t>
      </w:r>
      <w:r w:rsidR="00EF114B">
        <w:rPr>
          <w:rFonts w:eastAsiaTheme="minorEastAsia"/>
          <w:u w:val="double"/>
        </w:rPr>
        <w:t xml:space="preserve">complying with Section 8 </w:t>
      </w:r>
      <w:r w:rsidRPr="00361512">
        <w:rPr>
          <w:rFonts w:eastAsiaTheme="minorEastAsia"/>
          <w:u w:val="double"/>
        </w:rPr>
        <w:t xml:space="preserve">specifically indicates the inclusion of </w:t>
      </w:r>
      <w:r>
        <w:rPr>
          <w:rFonts w:eastAsiaTheme="minorEastAsia"/>
          <w:u w:val="double"/>
        </w:rPr>
        <w:t xml:space="preserve">each </w:t>
      </w:r>
      <w:r w:rsidRPr="00361512">
        <w:rPr>
          <w:rFonts w:eastAsiaTheme="minorEastAsia"/>
          <w:u w:val="double"/>
        </w:rPr>
        <w:t xml:space="preserve">such building element </w:t>
      </w:r>
      <w:proofErr w:type="gramStart"/>
      <w:r w:rsidRPr="00361512">
        <w:rPr>
          <w:rFonts w:eastAsiaTheme="minorEastAsia"/>
          <w:u w:val="double"/>
        </w:rPr>
        <w:t>and also</w:t>
      </w:r>
      <w:proofErr w:type="gramEnd"/>
      <w:r w:rsidRPr="00361512">
        <w:rPr>
          <w:rFonts w:eastAsiaTheme="minorEastAsia"/>
          <w:u w:val="double"/>
        </w:rPr>
        <w:t xml:space="preserve"> reports results without such elements</w:t>
      </w:r>
      <w:r>
        <w:rPr>
          <w:rFonts w:eastAsiaTheme="minorEastAsia"/>
          <w:u w:val="double"/>
        </w:rPr>
        <w:t xml:space="preserve"> included in the calculation</w:t>
      </w:r>
      <w:r w:rsidRPr="00361512">
        <w:rPr>
          <w:rFonts w:eastAsiaTheme="minorEastAsia"/>
          <w:u w:val="double"/>
        </w:rPr>
        <w:t>.</w:t>
      </w:r>
      <w:r w:rsidRPr="00361512">
        <w:rPr>
          <w:rFonts w:eastAsiaTheme="minorEastAsia"/>
          <w:u w:val="single"/>
        </w:rPr>
        <w:t xml:space="preserve"> </w:t>
      </w:r>
      <w:r w:rsidRPr="00361512">
        <w:rPr>
          <w:rFonts w:eastAsiaTheme="minorEastAsia"/>
          <w:strike/>
          <w:color w:val="FF0000"/>
          <w:u w:val="single"/>
        </w:rPr>
        <w:t xml:space="preserve">regardless of being identified on the </w:t>
      </w:r>
      <w:r w:rsidRPr="00361512">
        <w:rPr>
          <w:rFonts w:eastAsiaTheme="minorEastAsia"/>
          <w:i/>
          <w:iCs/>
          <w:strike/>
          <w:color w:val="FF0000"/>
          <w:u w:val="single"/>
        </w:rPr>
        <w:t>construction documents</w:t>
      </w:r>
      <w:r w:rsidRPr="006D00C9">
        <w:rPr>
          <w:rFonts w:eastAsiaTheme="minorEastAsia"/>
          <w:color w:val="FF0000"/>
          <w:u w:val="single"/>
        </w:rPr>
        <w:t xml:space="preserve">. </w:t>
      </w:r>
    </w:p>
    <w:p w14:paraId="756BB7BA" w14:textId="77777777" w:rsidR="00AA330F" w:rsidRDefault="00AA330F" w:rsidP="0000630F">
      <w:pPr>
        <w:rPr>
          <w:sz w:val="20"/>
          <w:szCs w:val="20"/>
        </w:rPr>
      </w:pPr>
    </w:p>
    <w:sectPr w:rsidR="00AA3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DCBB" w14:textId="77777777" w:rsidR="002207D3" w:rsidRDefault="002207D3" w:rsidP="00237923">
      <w:pPr>
        <w:spacing w:after="0" w:line="240" w:lineRule="auto"/>
      </w:pPr>
      <w:r>
        <w:separator/>
      </w:r>
    </w:p>
  </w:endnote>
  <w:endnote w:type="continuationSeparator" w:id="0">
    <w:p w14:paraId="0FC1F0F7" w14:textId="77777777" w:rsidR="002207D3" w:rsidRDefault="002207D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722D" w14:textId="77777777" w:rsidR="002207D3" w:rsidRDefault="002207D3" w:rsidP="00237923">
      <w:pPr>
        <w:spacing w:after="0" w:line="240" w:lineRule="auto"/>
      </w:pPr>
      <w:r>
        <w:separator/>
      </w:r>
    </w:p>
  </w:footnote>
  <w:footnote w:type="continuationSeparator" w:id="0">
    <w:p w14:paraId="194D04AB" w14:textId="77777777" w:rsidR="002207D3" w:rsidRDefault="002207D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87D8B"/>
    <w:rsid w:val="000D76A5"/>
    <w:rsid w:val="000E18FA"/>
    <w:rsid w:val="00166CF3"/>
    <w:rsid w:val="001F0480"/>
    <w:rsid w:val="002207D3"/>
    <w:rsid w:val="00235C64"/>
    <w:rsid w:val="002377BD"/>
    <w:rsid w:val="00237923"/>
    <w:rsid w:val="00255E22"/>
    <w:rsid w:val="002670DA"/>
    <w:rsid w:val="00291463"/>
    <w:rsid w:val="00325D94"/>
    <w:rsid w:val="00341D9E"/>
    <w:rsid w:val="00361512"/>
    <w:rsid w:val="00394B87"/>
    <w:rsid w:val="003D6A89"/>
    <w:rsid w:val="003E0D1B"/>
    <w:rsid w:val="00411DAF"/>
    <w:rsid w:val="00454589"/>
    <w:rsid w:val="00480D58"/>
    <w:rsid w:val="004C6728"/>
    <w:rsid w:val="00524F09"/>
    <w:rsid w:val="00553D0D"/>
    <w:rsid w:val="00585A0D"/>
    <w:rsid w:val="005C1477"/>
    <w:rsid w:val="0060026E"/>
    <w:rsid w:val="006A1631"/>
    <w:rsid w:val="0075266D"/>
    <w:rsid w:val="0078355B"/>
    <w:rsid w:val="007B4125"/>
    <w:rsid w:val="007D1419"/>
    <w:rsid w:val="00846BFE"/>
    <w:rsid w:val="00872DC1"/>
    <w:rsid w:val="008C2F70"/>
    <w:rsid w:val="00934D56"/>
    <w:rsid w:val="009D07CD"/>
    <w:rsid w:val="009D268A"/>
    <w:rsid w:val="00A0081F"/>
    <w:rsid w:val="00A2464E"/>
    <w:rsid w:val="00A40FA4"/>
    <w:rsid w:val="00A519E2"/>
    <w:rsid w:val="00A53D03"/>
    <w:rsid w:val="00AA330F"/>
    <w:rsid w:val="00AB6728"/>
    <w:rsid w:val="00AD7E74"/>
    <w:rsid w:val="00BB734E"/>
    <w:rsid w:val="00C1363D"/>
    <w:rsid w:val="00C376EC"/>
    <w:rsid w:val="00C90E11"/>
    <w:rsid w:val="00D62FA2"/>
    <w:rsid w:val="00D824DE"/>
    <w:rsid w:val="00DF14FE"/>
    <w:rsid w:val="00DF5028"/>
    <w:rsid w:val="00E15CD9"/>
    <w:rsid w:val="00EC2629"/>
    <w:rsid w:val="00EF114B"/>
    <w:rsid w:val="00F31371"/>
    <w:rsid w:val="00F37E1D"/>
    <w:rsid w:val="00F44C65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325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D94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D94"/>
    <w:rPr>
      <w:rFonts w:ascii="Source Sans Pro" w:hAnsi="Source Sans Pro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C6728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728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C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jcrandell</cp:lastModifiedBy>
  <cp:revision>5</cp:revision>
  <cp:lastPrinted>2025-01-14T21:16:00Z</cp:lastPrinted>
  <dcterms:created xsi:type="dcterms:W3CDTF">2025-01-14T21:16:00Z</dcterms:created>
  <dcterms:modified xsi:type="dcterms:W3CDTF">2025-01-21T17:29:00Z</dcterms:modified>
</cp:coreProperties>
</file>