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2834ABF1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proofErr w:type="gramStart"/>
      <w:r>
        <w:rPr>
          <w:b/>
          <w:bCs/>
        </w:rPr>
        <w:t xml:space="preserve">: </w:t>
      </w:r>
      <w:r w:rsidR="009454F2">
        <w:rPr>
          <w:b/>
          <w:bCs/>
        </w:rPr>
        <w:t xml:space="preserve"> (</w:t>
      </w:r>
      <w:proofErr w:type="gramEnd"/>
      <w:r w:rsidR="009454F2">
        <w:rPr>
          <w:b/>
          <w:bCs/>
        </w:rPr>
        <w:t>Page 4; Section 2; Objection; Technical)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23A17B3" w14:textId="467361FF" w:rsidR="0000630F" w:rsidRPr="00166CF3" w:rsidRDefault="00DF14FE" w:rsidP="0000630F">
      <w:pPr>
        <w:rPr>
          <w:b/>
          <w:bCs/>
          <w:sz w:val="22"/>
          <w:szCs w:val="22"/>
        </w:rPr>
      </w:pPr>
      <w:r w:rsidRPr="00166CF3">
        <w:rPr>
          <w:b/>
          <w:bCs/>
          <w:sz w:val="22"/>
          <w:szCs w:val="22"/>
        </w:rPr>
        <w:t xml:space="preserve">Comment #2:  </w:t>
      </w:r>
      <w:r w:rsidRPr="00166CF3">
        <w:rPr>
          <w:sz w:val="22"/>
          <w:szCs w:val="22"/>
        </w:rPr>
        <w:t>This comment relates to and builds on Comment #1 (separately submitted).  It addresses important scope limitations and omissions that are important to a holistic approach to building decarbonization, code compliance, and design optimization or decision-making considering important building performance factors beyond the scope of this standard.</w:t>
      </w:r>
      <w:r w:rsidR="00C1363D" w:rsidRPr="00166CF3">
        <w:rPr>
          <w:sz w:val="22"/>
          <w:szCs w:val="22"/>
        </w:rPr>
        <w:t xml:space="preserve"> It modifies and expands two scope statement</w:t>
      </w:r>
      <w:r w:rsidR="007F779F">
        <w:rPr>
          <w:sz w:val="22"/>
          <w:szCs w:val="22"/>
        </w:rPr>
        <w:t>s</w:t>
      </w:r>
      <w:r w:rsidR="00C1363D" w:rsidRPr="00166CF3">
        <w:rPr>
          <w:sz w:val="22"/>
          <w:szCs w:val="22"/>
        </w:rPr>
        <w:t xml:space="preserve"> for completeness and adds three additional scope statements that are important but currently omitted.</w:t>
      </w: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D555E5B" w14:textId="1A3C6118" w:rsidR="004C6728" w:rsidRPr="006D00C9" w:rsidRDefault="007F779F" w:rsidP="004C6728">
      <w:pPr>
        <w:pStyle w:val="Heading1"/>
        <w:rPr>
          <w:color w:val="FF0000"/>
          <w:u w:val="single"/>
        </w:rPr>
      </w:pPr>
      <w:bookmarkStart w:id="0" w:name="_Toc1542774803"/>
      <w:bookmarkStart w:id="1" w:name="_Toc180680623"/>
      <w:r>
        <w:rPr>
          <w:color w:val="FF0000"/>
          <w:u w:val="single"/>
        </w:rPr>
        <w:t xml:space="preserve">2 </w:t>
      </w:r>
      <w:r w:rsidR="004C6728" w:rsidRPr="006D00C9">
        <w:rPr>
          <w:color w:val="FF0000"/>
          <w:u w:val="single"/>
        </w:rPr>
        <w:t>Scope</w:t>
      </w:r>
      <w:bookmarkEnd w:id="0"/>
      <w:bookmarkEnd w:id="1"/>
      <w:r w:rsidR="00166CF3">
        <w:rPr>
          <w:color w:val="FF0000"/>
          <w:u w:val="single"/>
        </w:rPr>
        <w:t xml:space="preserve"> </w:t>
      </w:r>
      <w:r w:rsidR="00166CF3" w:rsidRPr="00166CF3">
        <w:rPr>
          <w:color w:val="auto"/>
          <w:u w:val="double"/>
        </w:rPr>
        <w:t>&amp; Limitations</w:t>
      </w:r>
    </w:p>
    <w:p w14:paraId="6F118393" w14:textId="77777777" w:rsidR="004C6728" w:rsidRPr="00F92970" w:rsidRDefault="004C6728" w:rsidP="004C6728">
      <w:pPr>
        <w:rPr>
          <w:rFonts w:eastAsiaTheme="minorEastAsia"/>
          <w:color w:val="FF0000"/>
          <w:sz w:val="22"/>
          <w:szCs w:val="22"/>
          <w:u w:val="single"/>
        </w:rPr>
      </w:pPr>
      <w:r w:rsidRPr="00F92970">
        <w:rPr>
          <w:color w:val="FF0000"/>
          <w:sz w:val="22"/>
          <w:szCs w:val="22"/>
          <w:u w:val="single"/>
        </w:rPr>
        <w:t>This standard is applicable to buildings with Dwelling Units and Sleeping Units in Residential or Commercial Buildings, excepting hotels and motels.</w:t>
      </w:r>
      <w:r w:rsidRPr="00F92970">
        <w:rPr>
          <w:rStyle w:val="FootnoteReference"/>
          <w:color w:val="FF0000"/>
          <w:sz w:val="22"/>
          <w:szCs w:val="22"/>
          <w:u w:val="single"/>
        </w:rPr>
        <w:footnoteReference w:id="1"/>
      </w:r>
    </w:p>
    <w:p w14:paraId="0DF1994A" w14:textId="1DE04F92" w:rsidR="004C6728" w:rsidRPr="00F92970" w:rsidRDefault="004C6728" w:rsidP="004C6728">
      <w:pPr>
        <w:rPr>
          <w:sz w:val="22"/>
          <w:szCs w:val="22"/>
          <w:u w:val="double"/>
        </w:rPr>
      </w:pPr>
      <w:r w:rsidRPr="00F92970">
        <w:rPr>
          <w:color w:val="FF0000"/>
          <w:sz w:val="22"/>
          <w:szCs w:val="22"/>
          <w:u w:val="single"/>
        </w:rPr>
        <w:t>This standard does not set benchmarks or establish levels of building performance</w:t>
      </w:r>
      <w:r w:rsidR="0075266D" w:rsidRPr="00F92970">
        <w:rPr>
          <w:color w:val="FF0000"/>
          <w:sz w:val="22"/>
          <w:szCs w:val="22"/>
          <w:u w:val="single"/>
        </w:rPr>
        <w:t xml:space="preserve"> </w:t>
      </w:r>
      <w:r w:rsidR="0075266D" w:rsidRPr="00F92970">
        <w:rPr>
          <w:sz w:val="22"/>
          <w:szCs w:val="22"/>
          <w:u w:val="double"/>
        </w:rPr>
        <w:t xml:space="preserve">for embodied carbon emissions as represented by the </w:t>
      </w:r>
      <w:r w:rsidRPr="00F92970">
        <w:rPr>
          <w:sz w:val="22"/>
          <w:szCs w:val="22"/>
          <w:u w:val="double"/>
        </w:rPr>
        <w:t>limited scope of building products measured and other limitations of this standard.</w:t>
      </w:r>
    </w:p>
    <w:p w14:paraId="5B5C2C25" w14:textId="2C4AFC4F" w:rsidR="004C6728" w:rsidRPr="00F92970" w:rsidRDefault="004C6728" w:rsidP="004C6728">
      <w:pPr>
        <w:rPr>
          <w:rFonts w:eastAsiaTheme="minorEastAsia"/>
          <w:sz w:val="22"/>
          <w:szCs w:val="22"/>
          <w:u w:val="double"/>
        </w:rPr>
      </w:pPr>
      <w:r w:rsidRPr="00F92970">
        <w:rPr>
          <w:sz w:val="22"/>
          <w:szCs w:val="22"/>
          <w:u w:val="double"/>
        </w:rPr>
        <w:t xml:space="preserve">This standard does not address </w:t>
      </w:r>
      <w:r w:rsidR="0075266D" w:rsidRPr="00F92970">
        <w:rPr>
          <w:sz w:val="22"/>
          <w:szCs w:val="22"/>
          <w:u w:val="double"/>
        </w:rPr>
        <w:t xml:space="preserve">the building site or its </w:t>
      </w:r>
      <w:r w:rsidRPr="00F92970">
        <w:rPr>
          <w:sz w:val="22"/>
          <w:szCs w:val="22"/>
          <w:u w:val="double"/>
        </w:rPr>
        <w:t>infrastructure.</w:t>
      </w:r>
    </w:p>
    <w:p w14:paraId="3C19BBD3" w14:textId="381F5192" w:rsidR="004C6728" w:rsidRPr="00F92970" w:rsidRDefault="004C6728" w:rsidP="004C6728">
      <w:pPr>
        <w:rPr>
          <w:sz w:val="22"/>
          <w:szCs w:val="22"/>
          <w:u w:val="double"/>
        </w:rPr>
      </w:pPr>
      <w:r w:rsidRPr="00F92970">
        <w:rPr>
          <w:sz w:val="22"/>
          <w:szCs w:val="22"/>
          <w:u w:val="double"/>
        </w:rPr>
        <w:t>This standard does not account for the total (i.e., embodied and operational) carbon emissions of a building system or the individual products</w:t>
      </w:r>
      <w:r w:rsidR="009D268A" w:rsidRPr="00F92970">
        <w:rPr>
          <w:sz w:val="22"/>
          <w:szCs w:val="22"/>
          <w:u w:val="double"/>
        </w:rPr>
        <w:t>,</w:t>
      </w:r>
      <w:r w:rsidRPr="00F92970">
        <w:rPr>
          <w:sz w:val="22"/>
          <w:szCs w:val="22"/>
          <w:u w:val="double"/>
        </w:rPr>
        <w:t xml:space="preserve"> or the configuration of those products that may have a direct influence on the operational GHG emissions of buildings.</w:t>
      </w:r>
    </w:p>
    <w:p w14:paraId="4247500A" w14:textId="70307E01" w:rsidR="004C6728" w:rsidRPr="00F92970" w:rsidRDefault="004C6728" w:rsidP="004C6728">
      <w:pPr>
        <w:rPr>
          <w:rFonts w:eastAsiaTheme="minorEastAsia"/>
          <w:sz w:val="22"/>
          <w:szCs w:val="22"/>
          <w:u w:val="double"/>
        </w:rPr>
      </w:pPr>
      <w:r w:rsidRPr="00F92970">
        <w:rPr>
          <w:sz w:val="22"/>
          <w:szCs w:val="22"/>
          <w:u w:val="double"/>
        </w:rPr>
        <w:t xml:space="preserve">This standard does not explicitly address building products that have multi-functional capabilities </w:t>
      </w:r>
      <w:r w:rsidR="00846BFE" w:rsidRPr="00F92970">
        <w:rPr>
          <w:sz w:val="22"/>
          <w:szCs w:val="22"/>
          <w:u w:val="double"/>
        </w:rPr>
        <w:t>or</w:t>
      </w:r>
      <w:r w:rsidR="0075266D" w:rsidRPr="00F92970">
        <w:rPr>
          <w:sz w:val="22"/>
          <w:szCs w:val="22"/>
          <w:u w:val="double"/>
        </w:rPr>
        <w:t xml:space="preserve"> the degree to which </w:t>
      </w:r>
      <w:r w:rsidRPr="00F92970">
        <w:rPr>
          <w:sz w:val="22"/>
          <w:szCs w:val="22"/>
          <w:u w:val="double"/>
        </w:rPr>
        <w:t xml:space="preserve">such capabilities are utilized </w:t>
      </w:r>
      <w:r w:rsidR="00524F09" w:rsidRPr="00F92970">
        <w:rPr>
          <w:sz w:val="22"/>
          <w:szCs w:val="22"/>
          <w:u w:val="double"/>
        </w:rPr>
        <w:t xml:space="preserve">to optimize the design or </w:t>
      </w:r>
      <w:r w:rsidR="0075266D" w:rsidRPr="00F92970">
        <w:rPr>
          <w:sz w:val="22"/>
          <w:szCs w:val="22"/>
          <w:u w:val="double"/>
        </w:rPr>
        <w:t xml:space="preserve">configuration of </w:t>
      </w:r>
      <w:r w:rsidRPr="00F92970">
        <w:rPr>
          <w:sz w:val="22"/>
          <w:szCs w:val="22"/>
          <w:u w:val="double"/>
        </w:rPr>
        <w:t>a particular building system or assembly</w:t>
      </w:r>
      <w:r w:rsidR="00524F09" w:rsidRPr="00F92970">
        <w:rPr>
          <w:sz w:val="22"/>
          <w:szCs w:val="22"/>
          <w:u w:val="double"/>
        </w:rPr>
        <w:t xml:space="preserve"> being assessed</w:t>
      </w:r>
      <w:r w:rsidRPr="00F92970">
        <w:rPr>
          <w:sz w:val="22"/>
          <w:szCs w:val="22"/>
          <w:u w:val="double"/>
        </w:rPr>
        <w:t xml:space="preserve">.  </w:t>
      </w:r>
    </w:p>
    <w:p w14:paraId="623812AA" w14:textId="1CD630F1" w:rsidR="004C6728" w:rsidRDefault="004C6728" w:rsidP="0000630F">
      <w:pPr>
        <w:rPr>
          <w:sz w:val="22"/>
          <w:szCs w:val="22"/>
          <w:u w:val="double"/>
        </w:rPr>
      </w:pPr>
      <w:r w:rsidRPr="00F92970">
        <w:rPr>
          <w:color w:val="FF0000"/>
          <w:sz w:val="22"/>
          <w:szCs w:val="22"/>
          <w:u w:val="single"/>
        </w:rPr>
        <w:t>This standard shall not be used to circumvent any safety, health, or environmental requirements</w:t>
      </w:r>
      <w:r w:rsidR="00DF14FE" w:rsidRPr="00F92970">
        <w:rPr>
          <w:color w:val="FF0000"/>
          <w:sz w:val="22"/>
          <w:szCs w:val="22"/>
          <w:u w:val="single"/>
        </w:rPr>
        <w:t xml:space="preserve"> </w:t>
      </w:r>
      <w:r w:rsidR="00DF14FE" w:rsidRPr="00F92970">
        <w:rPr>
          <w:sz w:val="22"/>
          <w:szCs w:val="22"/>
          <w:u w:val="double"/>
        </w:rPr>
        <w:t xml:space="preserve">or design optimization and building code compliance decisions that consider </w:t>
      </w:r>
      <w:r w:rsidR="00846BFE" w:rsidRPr="00F92970">
        <w:rPr>
          <w:sz w:val="22"/>
          <w:szCs w:val="22"/>
          <w:u w:val="double"/>
        </w:rPr>
        <w:t xml:space="preserve">necessary </w:t>
      </w:r>
      <w:r w:rsidR="00DF14FE" w:rsidRPr="00F92970">
        <w:rPr>
          <w:sz w:val="22"/>
          <w:szCs w:val="22"/>
          <w:u w:val="double"/>
        </w:rPr>
        <w:t>building product and building system performance attributes beyond the embodied carbon scope of this standard</w:t>
      </w:r>
      <w:r w:rsidRPr="00F92970">
        <w:rPr>
          <w:sz w:val="22"/>
          <w:szCs w:val="22"/>
          <w:u w:val="double"/>
        </w:rPr>
        <w:t>.</w:t>
      </w:r>
    </w:p>
    <w:p w14:paraId="55C25F05" w14:textId="53833ECA" w:rsidR="00166CF3" w:rsidRPr="0000630F" w:rsidRDefault="00166CF3" w:rsidP="0000630F">
      <w:r>
        <w:rPr>
          <w:sz w:val="22"/>
          <w:szCs w:val="22"/>
          <w:u w:val="double"/>
        </w:rPr>
        <w:t>For additional information on the limitations of this standard, refer to Section 10.5</w:t>
      </w:r>
      <w:r w:rsidR="007F779F">
        <w:rPr>
          <w:sz w:val="22"/>
          <w:szCs w:val="22"/>
          <w:u w:val="double"/>
        </w:rPr>
        <w:t>.</w:t>
      </w:r>
    </w:p>
    <w:sectPr w:rsidR="00166CF3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F0982" w14:textId="77777777" w:rsidR="00EC15C3" w:rsidRDefault="00EC15C3" w:rsidP="00237923">
      <w:pPr>
        <w:spacing w:after="0" w:line="240" w:lineRule="auto"/>
      </w:pPr>
      <w:r>
        <w:separator/>
      </w:r>
    </w:p>
  </w:endnote>
  <w:endnote w:type="continuationSeparator" w:id="0">
    <w:p w14:paraId="2E6A16E4" w14:textId="77777777" w:rsidR="00EC15C3" w:rsidRDefault="00EC15C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0EC6" w14:textId="77777777" w:rsidR="00EC15C3" w:rsidRDefault="00EC15C3" w:rsidP="00237923">
      <w:pPr>
        <w:spacing w:after="0" w:line="240" w:lineRule="auto"/>
      </w:pPr>
      <w:r>
        <w:separator/>
      </w:r>
    </w:p>
  </w:footnote>
  <w:footnote w:type="continuationSeparator" w:id="0">
    <w:p w14:paraId="0DB28D4D" w14:textId="77777777" w:rsidR="00EC15C3" w:rsidRDefault="00EC15C3" w:rsidP="00237923">
      <w:pPr>
        <w:spacing w:after="0" w:line="240" w:lineRule="auto"/>
      </w:pPr>
      <w:r>
        <w:continuationSeparator/>
      </w:r>
    </w:p>
  </w:footnote>
  <w:footnote w:id="1">
    <w:p w14:paraId="0F58742E" w14:textId="77777777" w:rsidR="004C6728" w:rsidRPr="006D00C9" w:rsidRDefault="004C6728" w:rsidP="004C6728">
      <w:pPr>
        <w:pStyle w:val="FootnoteText"/>
        <w:rPr>
          <w:color w:val="FF0000"/>
          <w:u w:val="single"/>
          <w:lang w:val="en-CA"/>
        </w:rPr>
      </w:pPr>
      <w:r w:rsidRPr="006D00C9">
        <w:rPr>
          <w:rStyle w:val="FootnoteReference"/>
          <w:color w:val="FF0000"/>
          <w:u w:val="single"/>
        </w:rPr>
        <w:footnoteRef/>
      </w:r>
      <w:r w:rsidRPr="006D00C9">
        <w:rPr>
          <w:color w:val="FF0000"/>
          <w:u w:val="single"/>
        </w:rPr>
        <w:t xml:space="preserve"> </w:t>
      </w:r>
      <w:r w:rsidRPr="006D00C9">
        <w:rPr>
          <w:color w:val="FF0000"/>
          <w:u w:val="single"/>
          <w:lang w:val="en-CA"/>
        </w:rPr>
        <w:t>(Normative Note) The terms “Dwelling Unit” and “Sleeping Unit” are interchangeable with the term “home” throughout this Standard, except where specifically noted.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166CF3"/>
    <w:rsid w:val="002377BD"/>
    <w:rsid w:val="00237923"/>
    <w:rsid w:val="00255E22"/>
    <w:rsid w:val="00291463"/>
    <w:rsid w:val="00325D94"/>
    <w:rsid w:val="003D6A89"/>
    <w:rsid w:val="003E0D1B"/>
    <w:rsid w:val="004101F4"/>
    <w:rsid w:val="004C6728"/>
    <w:rsid w:val="004D3790"/>
    <w:rsid w:val="00524F09"/>
    <w:rsid w:val="00553D0D"/>
    <w:rsid w:val="00585A0D"/>
    <w:rsid w:val="005C1477"/>
    <w:rsid w:val="0060026E"/>
    <w:rsid w:val="006A1631"/>
    <w:rsid w:val="0075266D"/>
    <w:rsid w:val="0078355B"/>
    <w:rsid w:val="007D1419"/>
    <w:rsid w:val="007F779F"/>
    <w:rsid w:val="00846BFE"/>
    <w:rsid w:val="00872DC1"/>
    <w:rsid w:val="008C2F70"/>
    <w:rsid w:val="00934D56"/>
    <w:rsid w:val="009454F2"/>
    <w:rsid w:val="009D07CD"/>
    <w:rsid w:val="009D268A"/>
    <w:rsid w:val="00A2464E"/>
    <w:rsid w:val="00A519E2"/>
    <w:rsid w:val="00A53D03"/>
    <w:rsid w:val="00AB6728"/>
    <w:rsid w:val="00AD7E74"/>
    <w:rsid w:val="00BB734E"/>
    <w:rsid w:val="00C1363D"/>
    <w:rsid w:val="00C376EC"/>
    <w:rsid w:val="00C90E11"/>
    <w:rsid w:val="00D824DE"/>
    <w:rsid w:val="00DF14FE"/>
    <w:rsid w:val="00E15CD9"/>
    <w:rsid w:val="00EC15C3"/>
    <w:rsid w:val="00EC2629"/>
    <w:rsid w:val="00F44C65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325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D94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D94"/>
    <w:rPr>
      <w:rFonts w:ascii="Source Sans Pro" w:hAnsi="Source Sans Pro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4C6728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728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C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jcrandell</cp:lastModifiedBy>
  <cp:revision>7</cp:revision>
  <cp:lastPrinted>2025-01-14T17:31:00Z</cp:lastPrinted>
  <dcterms:created xsi:type="dcterms:W3CDTF">2025-01-14T20:03:00Z</dcterms:created>
  <dcterms:modified xsi:type="dcterms:W3CDTF">2025-01-21T17:28:00Z</dcterms:modified>
</cp:coreProperties>
</file>