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16F25A2E" w:rsidR="00237923" w:rsidRDefault="00237923">
      <w:pPr>
        <w:rPr>
          <w:sz w:val="20"/>
          <w:szCs w:val="20"/>
        </w:rPr>
      </w:pPr>
      <w:r>
        <w:rPr>
          <w:b/>
          <w:bCs/>
        </w:rPr>
        <w:t>Comment/Explanation</w:t>
      </w:r>
      <w:r w:rsidR="0000630F" w:rsidRPr="0000630F">
        <w:rPr>
          <w:b/>
          <w:bCs/>
          <w:color w:val="FF0000"/>
        </w:rPr>
        <w:t>*</w:t>
      </w:r>
      <w:proofErr w:type="gramStart"/>
      <w:r>
        <w:rPr>
          <w:b/>
          <w:bCs/>
        </w:rPr>
        <w:t xml:space="preserve">: </w:t>
      </w:r>
      <w:r w:rsidR="005720E4">
        <w:rPr>
          <w:b/>
          <w:bCs/>
        </w:rPr>
        <w:t xml:space="preserve"> (</w:t>
      </w:r>
      <w:proofErr w:type="gramEnd"/>
      <w:r w:rsidR="005720E4">
        <w:rPr>
          <w:b/>
          <w:bCs/>
        </w:rPr>
        <w:t>Page 4; Section1; Objection; General)</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6EE72A1F" w:rsidR="0000630F" w:rsidRPr="0000630F" w:rsidRDefault="00E126BD">
      <w:pPr>
        <w:rPr>
          <w:sz w:val="20"/>
          <w:szCs w:val="20"/>
        </w:rPr>
      </w:pPr>
      <w:r w:rsidRPr="00E126BD">
        <w:rPr>
          <w:b/>
          <w:bCs/>
          <w:sz w:val="20"/>
          <w:szCs w:val="20"/>
        </w:rPr>
        <w:t>COMMENT 1:</w:t>
      </w:r>
      <w:r>
        <w:rPr>
          <w:sz w:val="20"/>
          <w:szCs w:val="20"/>
        </w:rPr>
        <w:t xml:space="preserve"> </w:t>
      </w:r>
      <w:r w:rsidR="00AD7E74">
        <w:rPr>
          <w:sz w:val="20"/>
          <w:szCs w:val="20"/>
        </w:rPr>
        <w:t xml:space="preserve">While the standard provides a well-organized and understandable embodied carbon accounting methodology in the overall sense, the purpose statement needs to more accurately align with the scope and limitations of the standard to avoid misunderstanding of what it </w:t>
      </w:r>
      <w:proofErr w:type="gramStart"/>
      <w:r w:rsidR="00AD7E74">
        <w:rPr>
          <w:sz w:val="20"/>
          <w:szCs w:val="20"/>
        </w:rPr>
        <w:t>actually delivers</w:t>
      </w:r>
      <w:proofErr w:type="gramEnd"/>
      <w:r w:rsidR="00AD7E74">
        <w:rPr>
          <w:sz w:val="20"/>
          <w:szCs w:val="20"/>
        </w:rPr>
        <w:t xml:space="preserve"> in its methodology</w:t>
      </w:r>
      <w:r w:rsidR="00C90E11">
        <w:rPr>
          <w:sz w:val="20"/>
          <w:szCs w:val="20"/>
        </w:rPr>
        <w:t xml:space="preserve"> (i.e., truth in advertising)</w:t>
      </w:r>
      <w:r w:rsidR="00AD7E74">
        <w:rPr>
          <w:sz w:val="20"/>
          <w:szCs w:val="20"/>
        </w:rPr>
        <w:t xml:space="preserve">.  Two examples of how this might be better achieved are proposed with this comment; one </w:t>
      </w:r>
      <w:r w:rsidR="00C376EC">
        <w:rPr>
          <w:sz w:val="20"/>
          <w:szCs w:val="20"/>
        </w:rPr>
        <w:t xml:space="preserve">is </w:t>
      </w:r>
      <w:r w:rsidR="00AD7E74">
        <w:rPr>
          <w:sz w:val="20"/>
          <w:szCs w:val="20"/>
        </w:rPr>
        <w:t xml:space="preserve">a minor edit to Section 1.0 and the other </w:t>
      </w:r>
      <w:r w:rsidR="00EC6D94">
        <w:rPr>
          <w:sz w:val="20"/>
          <w:szCs w:val="20"/>
        </w:rPr>
        <w:t xml:space="preserve">is </w:t>
      </w:r>
      <w:r w:rsidR="00AD7E74">
        <w:rPr>
          <w:sz w:val="20"/>
          <w:szCs w:val="20"/>
        </w:rPr>
        <w:t xml:space="preserve">an added </w:t>
      </w:r>
      <w:proofErr w:type="spellStart"/>
      <w:r w:rsidR="00EC6D94">
        <w:rPr>
          <w:sz w:val="20"/>
          <w:szCs w:val="20"/>
        </w:rPr>
        <w:t>informative</w:t>
      </w:r>
      <w:r w:rsidR="00AD7E74">
        <w:rPr>
          <w:sz w:val="20"/>
          <w:szCs w:val="20"/>
        </w:rPr>
        <w:t>r</w:t>
      </w:r>
      <w:proofErr w:type="spellEnd"/>
      <w:r w:rsidR="00AD7E74">
        <w:rPr>
          <w:sz w:val="20"/>
          <w:szCs w:val="20"/>
        </w:rPr>
        <w:t xml:space="preserve"> note to draw attention to the treatment of important/significant limitation</w:t>
      </w:r>
      <w:r w:rsidR="00C376EC">
        <w:rPr>
          <w:sz w:val="20"/>
          <w:szCs w:val="20"/>
        </w:rPr>
        <w:t>s</w:t>
      </w:r>
      <w:r w:rsidR="00C54A7A">
        <w:rPr>
          <w:sz w:val="20"/>
          <w:szCs w:val="20"/>
        </w:rPr>
        <w:t>, some of which are</w:t>
      </w:r>
      <w:r w:rsidR="00C376EC">
        <w:rPr>
          <w:sz w:val="20"/>
          <w:szCs w:val="20"/>
        </w:rPr>
        <w:t xml:space="preserve"> addressed much later</w:t>
      </w:r>
      <w:r w:rsidR="00AD7E74">
        <w:rPr>
          <w:sz w:val="20"/>
          <w:szCs w:val="20"/>
        </w:rPr>
        <w:t xml:space="preserve"> in Appendix, Section 10.5.  These limitations should be front and center (even though partially addressed in the scope section).  Separate comments will address the scope section and </w:t>
      </w:r>
      <w:r w:rsidR="00C90E11">
        <w:rPr>
          <w:sz w:val="20"/>
          <w:szCs w:val="20"/>
        </w:rPr>
        <w:t xml:space="preserve">also </w:t>
      </w:r>
      <w:r w:rsidR="00AD7E74">
        <w:rPr>
          <w:sz w:val="20"/>
          <w:szCs w:val="20"/>
        </w:rPr>
        <w:t xml:space="preserve">potential </w:t>
      </w:r>
      <w:proofErr w:type="gramStart"/>
      <w:r w:rsidR="00AD7E74">
        <w:rPr>
          <w:sz w:val="20"/>
          <w:szCs w:val="20"/>
        </w:rPr>
        <w:t>omissions</w:t>
      </w:r>
      <w:proofErr w:type="gramEnd"/>
      <w:r w:rsidR="00AD7E74">
        <w:rPr>
          <w:sz w:val="20"/>
          <w:szCs w:val="20"/>
        </w:rPr>
        <w:t xml:space="preserve"> </w:t>
      </w:r>
      <w:r w:rsidR="00BB734E">
        <w:rPr>
          <w:sz w:val="20"/>
          <w:szCs w:val="20"/>
        </w:rPr>
        <w:t xml:space="preserve">or incompleteness related to </w:t>
      </w:r>
      <w:r w:rsidR="00AD7E74">
        <w:rPr>
          <w:sz w:val="20"/>
          <w:szCs w:val="20"/>
        </w:rPr>
        <w:t>the limitations discussed in Appendix Section 10.5.</w:t>
      </w:r>
      <w:r w:rsidR="00C90E11">
        <w:rPr>
          <w:sz w:val="20"/>
          <w:szCs w:val="20"/>
        </w:rPr>
        <w:t xml:space="preserve">  Finally, other comments </w:t>
      </w:r>
      <w:r w:rsidR="00C376EC">
        <w:rPr>
          <w:sz w:val="20"/>
          <w:szCs w:val="20"/>
        </w:rPr>
        <w:t xml:space="preserve">(also </w:t>
      </w:r>
      <w:r w:rsidR="00C90E11">
        <w:rPr>
          <w:sz w:val="20"/>
          <w:szCs w:val="20"/>
        </w:rPr>
        <w:t>provided separately</w:t>
      </w:r>
      <w:r w:rsidR="00C376EC">
        <w:rPr>
          <w:sz w:val="20"/>
          <w:szCs w:val="20"/>
        </w:rPr>
        <w:t>)</w:t>
      </w:r>
      <w:r w:rsidR="00C90E11">
        <w:rPr>
          <w:sz w:val="20"/>
          <w:szCs w:val="20"/>
        </w:rPr>
        <w:t xml:space="preserve"> may help resolve at least one of the more significant limitations (discussed in the proposed informative note below) by providing additional content for the standard.  </w:t>
      </w:r>
      <w:proofErr w:type="gramStart"/>
      <w:r w:rsidR="00C90E11">
        <w:rPr>
          <w:sz w:val="20"/>
          <w:szCs w:val="20"/>
        </w:rPr>
        <w:t>But,</w:t>
      </w:r>
      <w:proofErr w:type="gramEnd"/>
      <w:r w:rsidR="00C90E11">
        <w:rPr>
          <w:sz w:val="20"/>
          <w:szCs w:val="20"/>
        </w:rPr>
        <w:t xml:space="preserve"> this comment </w:t>
      </w:r>
      <w:r w:rsidR="00C376EC">
        <w:rPr>
          <w:sz w:val="20"/>
          <w:szCs w:val="20"/>
        </w:rPr>
        <w:t xml:space="preserve">is based on </w:t>
      </w:r>
      <w:r w:rsidR="00C90E11">
        <w:rPr>
          <w:sz w:val="20"/>
          <w:szCs w:val="20"/>
        </w:rPr>
        <w:t xml:space="preserve">what the standard currently contains and does or does not do. </w:t>
      </w: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B9D8FD4" w14:textId="3AB330A1" w:rsidR="00325D94" w:rsidRPr="00EC6D94" w:rsidRDefault="00EC6D94" w:rsidP="00325D94">
      <w:pPr>
        <w:pStyle w:val="Heading1"/>
        <w:rPr>
          <w:color w:val="FF0000"/>
          <w:sz w:val="36"/>
          <w:szCs w:val="36"/>
          <w:u w:val="single"/>
        </w:rPr>
      </w:pPr>
      <w:bookmarkStart w:id="0" w:name="_Toc854298894"/>
      <w:bookmarkStart w:id="1" w:name="_Toc180680622"/>
      <w:r w:rsidRPr="00EC6D94">
        <w:rPr>
          <w:color w:val="FF0000"/>
          <w:sz w:val="36"/>
          <w:szCs w:val="36"/>
          <w:u w:val="single"/>
        </w:rPr>
        <w:t>1 P</w:t>
      </w:r>
      <w:r w:rsidR="00325D94" w:rsidRPr="00EC6D94">
        <w:rPr>
          <w:color w:val="FF0000"/>
          <w:sz w:val="36"/>
          <w:szCs w:val="36"/>
          <w:u w:val="single"/>
        </w:rPr>
        <w:t>urpose</w:t>
      </w:r>
      <w:bookmarkEnd w:id="0"/>
      <w:bookmarkEnd w:id="1"/>
    </w:p>
    <w:p w14:paraId="06A37682" w14:textId="34CC3B26" w:rsidR="00325D94" w:rsidRDefault="00325D94" w:rsidP="00325D94">
      <w:pPr>
        <w:rPr>
          <w:rFonts w:eastAsiaTheme="minorEastAsia"/>
          <w:color w:val="FF0000"/>
          <w:u w:val="single"/>
        </w:rPr>
      </w:pPr>
      <w:r w:rsidRPr="006D00C9">
        <w:rPr>
          <w:rFonts w:eastAsiaTheme="minorEastAsia"/>
          <w:color w:val="FF0000"/>
          <w:u w:val="single"/>
        </w:rPr>
        <w:t xml:space="preserve">The provisions of this document establish a </w:t>
      </w:r>
      <w:proofErr w:type="gramStart"/>
      <w:r w:rsidR="00EC6D94" w:rsidRPr="00EC6D94">
        <w:rPr>
          <w:rFonts w:eastAsiaTheme="minorEastAsia"/>
          <w:b/>
          <w:bCs/>
          <w:u w:val="double"/>
        </w:rPr>
        <w:t>limited-scope</w:t>
      </w:r>
      <w:proofErr w:type="gramEnd"/>
      <w:r w:rsidR="00EC6D94" w:rsidRPr="00EC6D94">
        <w:rPr>
          <w:rFonts w:eastAsiaTheme="minorEastAsia"/>
          <w:u w:val="single"/>
        </w:rPr>
        <w:t xml:space="preserve"> </w:t>
      </w:r>
      <w:r w:rsidRPr="006D00C9">
        <w:rPr>
          <w:rFonts w:eastAsiaTheme="minorEastAsia"/>
          <w:color w:val="FF0000"/>
          <w:u w:val="single"/>
        </w:rPr>
        <w:t>methodology</w:t>
      </w:r>
      <w:r w:rsidR="00EC6D94" w:rsidRPr="00EC6D94">
        <w:rPr>
          <w:rFonts w:eastAsiaTheme="minorEastAsia"/>
          <w:b/>
          <w:bCs/>
          <w:u w:val="double"/>
          <w:vertAlign w:val="superscript"/>
        </w:rPr>
        <w:t>1</w:t>
      </w:r>
      <w:r w:rsidRPr="00EC6D94">
        <w:rPr>
          <w:rFonts w:eastAsiaTheme="minorEastAsia"/>
          <w:b/>
          <w:bCs/>
          <w:u w:val="double"/>
        </w:rPr>
        <w:t xml:space="preserve"> </w:t>
      </w:r>
      <w:r w:rsidRPr="00934D56">
        <w:rPr>
          <w:rFonts w:eastAsiaTheme="minorEastAsia"/>
          <w:b/>
          <w:bCs/>
          <w:u w:val="double"/>
        </w:rPr>
        <w:t xml:space="preserve">for </w:t>
      </w:r>
      <w:r w:rsidRPr="00EC6D94">
        <w:rPr>
          <w:rFonts w:eastAsiaTheme="minorEastAsia"/>
          <w:color w:val="FF0000"/>
        </w:rPr>
        <w:t xml:space="preserve">quantifying </w:t>
      </w:r>
      <w:r w:rsidRPr="006D00C9">
        <w:rPr>
          <w:rFonts w:eastAsiaTheme="minorEastAsia"/>
          <w:color w:val="FF0000"/>
          <w:u w:val="single"/>
        </w:rPr>
        <w:t>and reporting embodied greenhouse gas emissions associated with building products using data commonly gathered by energy raters and according to the system boundary and data sources defined in Section</w:t>
      </w:r>
      <w:r w:rsidR="00EC6D94">
        <w:rPr>
          <w:rFonts w:eastAsiaTheme="minorEastAsia"/>
          <w:color w:val="FF0000"/>
          <w:u w:val="single"/>
        </w:rPr>
        <w:t xml:space="preserve"> 5</w:t>
      </w:r>
      <w:r w:rsidRPr="006D00C9">
        <w:rPr>
          <w:rFonts w:eastAsiaTheme="minorEastAsia"/>
          <w:color w:val="FF0000"/>
          <w:u w:val="single"/>
        </w:rPr>
        <w:t>.</w:t>
      </w:r>
    </w:p>
    <w:p w14:paraId="74AA883F" w14:textId="396EC376" w:rsidR="00325D94" w:rsidRDefault="00325D94">
      <w:pPr>
        <w:rPr>
          <w:sz w:val="20"/>
          <w:szCs w:val="20"/>
          <w:u w:val="double"/>
        </w:rPr>
      </w:pPr>
      <w:r w:rsidRPr="00C376EC">
        <w:rPr>
          <w:sz w:val="20"/>
          <w:szCs w:val="20"/>
          <w:u w:val="double"/>
          <w:vertAlign w:val="superscript"/>
        </w:rPr>
        <w:t>1</w:t>
      </w:r>
      <w:r w:rsidRPr="00C376EC">
        <w:rPr>
          <w:sz w:val="20"/>
          <w:szCs w:val="20"/>
          <w:u w:val="double"/>
        </w:rPr>
        <w:t>(Informative note): Th</w:t>
      </w:r>
      <w:r w:rsidR="00BB734E" w:rsidRPr="00C376EC">
        <w:rPr>
          <w:sz w:val="20"/>
          <w:szCs w:val="20"/>
          <w:u w:val="double"/>
        </w:rPr>
        <w:t xml:space="preserve">e user is </w:t>
      </w:r>
      <w:r w:rsidR="0047204A">
        <w:rPr>
          <w:sz w:val="20"/>
          <w:szCs w:val="20"/>
          <w:u w:val="double"/>
        </w:rPr>
        <w:t>advised</w:t>
      </w:r>
      <w:r w:rsidR="00BB734E" w:rsidRPr="00C376EC">
        <w:rPr>
          <w:sz w:val="20"/>
          <w:szCs w:val="20"/>
          <w:u w:val="double"/>
        </w:rPr>
        <w:t xml:space="preserve"> that this</w:t>
      </w:r>
      <w:r w:rsidRPr="00C376EC">
        <w:rPr>
          <w:sz w:val="20"/>
          <w:szCs w:val="20"/>
          <w:u w:val="double"/>
        </w:rPr>
        <w:t xml:space="preserve"> standard does not provide a complete quantification of the embodied carbon </w:t>
      </w:r>
      <w:proofErr w:type="gramStart"/>
      <w:r w:rsidRPr="00C376EC">
        <w:rPr>
          <w:sz w:val="20"/>
          <w:szCs w:val="20"/>
          <w:u w:val="double"/>
        </w:rPr>
        <w:t>contribution</w:t>
      </w:r>
      <w:proofErr w:type="gramEnd"/>
      <w:r w:rsidRPr="00C376EC">
        <w:rPr>
          <w:sz w:val="20"/>
          <w:szCs w:val="20"/>
          <w:u w:val="double"/>
        </w:rPr>
        <w:t xml:space="preserve"> all products, elements and systems that comp</w:t>
      </w:r>
      <w:r w:rsidR="00C90E11" w:rsidRPr="00C376EC">
        <w:rPr>
          <w:sz w:val="20"/>
          <w:szCs w:val="20"/>
          <w:u w:val="double"/>
        </w:rPr>
        <w:t>ri</w:t>
      </w:r>
      <w:r w:rsidRPr="00C376EC">
        <w:rPr>
          <w:sz w:val="20"/>
          <w:szCs w:val="20"/>
          <w:u w:val="double"/>
        </w:rPr>
        <w:t>se a home.</w:t>
      </w:r>
      <w:r w:rsidR="00BB734E" w:rsidRPr="00C376EC">
        <w:rPr>
          <w:sz w:val="20"/>
          <w:szCs w:val="20"/>
          <w:u w:val="double"/>
        </w:rPr>
        <w:t xml:space="preserve"> </w:t>
      </w:r>
      <w:r w:rsidR="00EC6D94">
        <w:rPr>
          <w:sz w:val="20"/>
          <w:szCs w:val="20"/>
          <w:u w:val="double"/>
        </w:rPr>
        <w:t>Also, b</w:t>
      </w:r>
      <w:r w:rsidR="00BB734E" w:rsidRPr="00C376EC">
        <w:rPr>
          <w:sz w:val="20"/>
          <w:szCs w:val="20"/>
          <w:u w:val="double"/>
        </w:rPr>
        <w:t xml:space="preserve">uilding site infrastructure is ignored and can contribute significantly to a building project. </w:t>
      </w:r>
      <w:r w:rsidRPr="00C376EC">
        <w:rPr>
          <w:sz w:val="20"/>
          <w:szCs w:val="20"/>
          <w:u w:val="double"/>
        </w:rPr>
        <w:t xml:space="preserve"> For the items </w:t>
      </w:r>
      <w:r w:rsidR="00BB734E" w:rsidRPr="00C376EC">
        <w:rPr>
          <w:sz w:val="20"/>
          <w:szCs w:val="20"/>
          <w:u w:val="double"/>
        </w:rPr>
        <w:t>that are m</w:t>
      </w:r>
      <w:r w:rsidRPr="00C376EC">
        <w:rPr>
          <w:sz w:val="20"/>
          <w:szCs w:val="20"/>
          <w:u w:val="double"/>
        </w:rPr>
        <w:t>easured</w:t>
      </w:r>
      <w:r w:rsidR="00BB734E" w:rsidRPr="00C376EC">
        <w:rPr>
          <w:sz w:val="20"/>
          <w:szCs w:val="20"/>
          <w:u w:val="double"/>
        </w:rPr>
        <w:t xml:space="preserve"> as part of the home construction</w:t>
      </w:r>
      <w:r w:rsidRPr="00C376EC">
        <w:rPr>
          <w:sz w:val="20"/>
          <w:szCs w:val="20"/>
          <w:u w:val="double"/>
        </w:rPr>
        <w:t xml:space="preserve">, the accuracy </w:t>
      </w:r>
      <w:r w:rsidR="00BB734E" w:rsidRPr="00C376EC">
        <w:rPr>
          <w:sz w:val="20"/>
          <w:szCs w:val="20"/>
          <w:u w:val="double"/>
        </w:rPr>
        <w:t xml:space="preserve">of data </w:t>
      </w:r>
      <w:r w:rsidRPr="00C376EC">
        <w:rPr>
          <w:sz w:val="20"/>
          <w:szCs w:val="20"/>
          <w:u w:val="double"/>
        </w:rPr>
        <w:t>may vary substantially for any given product which may bias the total result for any given home</w:t>
      </w:r>
      <w:r w:rsidR="00BB734E" w:rsidRPr="00C376EC">
        <w:rPr>
          <w:sz w:val="20"/>
          <w:szCs w:val="20"/>
          <w:u w:val="double"/>
        </w:rPr>
        <w:t xml:space="preserve"> to varying degrees</w:t>
      </w:r>
      <w:r w:rsidRPr="00C376EC">
        <w:rPr>
          <w:sz w:val="20"/>
          <w:szCs w:val="20"/>
          <w:u w:val="double"/>
        </w:rPr>
        <w:t xml:space="preserve">.  In addition, products </w:t>
      </w:r>
      <w:r w:rsidR="00C90E11" w:rsidRPr="00C376EC">
        <w:rPr>
          <w:sz w:val="20"/>
          <w:szCs w:val="20"/>
          <w:u w:val="double"/>
        </w:rPr>
        <w:t>that</w:t>
      </w:r>
      <w:r w:rsidRPr="00C376EC">
        <w:rPr>
          <w:sz w:val="20"/>
          <w:szCs w:val="20"/>
          <w:u w:val="double"/>
        </w:rPr>
        <w:t xml:space="preserve"> have a positive impact or handprint</w:t>
      </w:r>
      <w:r w:rsidR="00C90E11" w:rsidRPr="00C376EC">
        <w:rPr>
          <w:sz w:val="20"/>
          <w:szCs w:val="20"/>
          <w:u w:val="double"/>
        </w:rPr>
        <w:t xml:space="preserve"> (e.g., CO2e emission reduction)</w:t>
      </w:r>
      <w:r w:rsidRPr="00C376EC">
        <w:rPr>
          <w:sz w:val="20"/>
          <w:szCs w:val="20"/>
          <w:u w:val="double"/>
        </w:rPr>
        <w:t xml:space="preserve"> on the operational energy use and carbon footprint of a home are not considered, except in the </w:t>
      </w:r>
      <w:r w:rsidR="00BB734E" w:rsidRPr="00C376EC">
        <w:rPr>
          <w:sz w:val="20"/>
          <w:szCs w:val="20"/>
          <w:u w:val="double"/>
        </w:rPr>
        <w:t xml:space="preserve">selective </w:t>
      </w:r>
      <w:r w:rsidRPr="00C376EC">
        <w:rPr>
          <w:sz w:val="20"/>
          <w:szCs w:val="20"/>
          <w:u w:val="double"/>
        </w:rPr>
        <w:t>case of materials that store</w:t>
      </w:r>
      <w:r w:rsidR="00BB734E" w:rsidRPr="00C376EC">
        <w:rPr>
          <w:sz w:val="20"/>
          <w:szCs w:val="20"/>
          <w:u w:val="double"/>
        </w:rPr>
        <w:t xml:space="preserve"> atmospheric carbon where such future storage is treated idealistically without consideration of full life cycle implications and eventual stored carbon release back to the atmosphere.</w:t>
      </w:r>
      <w:r w:rsidR="00A53D03" w:rsidRPr="00C376EC">
        <w:rPr>
          <w:sz w:val="20"/>
          <w:szCs w:val="20"/>
          <w:u w:val="double"/>
        </w:rPr>
        <w:t xml:space="preserve"> Thus, the standard does not provide a holistic or complete accounting of embodied (or “upfront”) carbon and omits potentially important carbon emissions</w:t>
      </w:r>
      <w:r w:rsidR="00C90E11" w:rsidRPr="00C376EC">
        <w:rPr>
          <w:sz w:val="20"/>
          <w:szCs w:val="20"/>
          <w:u w:val="double"/>
        </w:rPr>
        <w:t xml:space="preserve"> impacts (increases or reductions)</w:t>
      </w:r>
      <w:r w:rsidR="00A53D03" w:rsidRPr="00C376EC">
        <w:rPr>
          <w:sz w:val="20"/>
          <w:szCs w:val="20"/>
          <w:u w:val="double"/>
        </w:rPr>
        <w:t xml:space="preserve"> associated with later stages of a building or building product</w:t>
      </w:r>
      <w:r w:rsidR="00C376EC">
        <w:rPr>
          <w:sz w:val="20"/>
          <w:szCs w:val="20"/>
          <w:u w:val="double"/>
        </w:rPr>
        <w:t>’</w:t>
      </w:r>
      <w:r w:rsidR="00A53D03" w:rsidRPr="00C376EC">
        <w:rPr>
          <w:sz w:val="20"/>
          <w:szCs w:val="20"/>
          <w:u w:val="double"/>
        </w:rPr>
        <w:t>s life cycle.</w:t>
      </w:r>
      <w:r w:rsidR="00BB734E" w:rsidRPr="00C376EC">
        <w:rPr>
          <w:sz w:val="20"/>
          <w:szCs w:val="20"/>
          <w:u w:val="double"/>
        </w:rPr>
        <w:t xml:space="preserve">  For additional information related to these and other </w:t>
      </w:r>
      <w:r w:rsidR="00A53D03" w:rsidRPr="00C376EC">
        <w:rPr>
          <w:sz w:val="20"/>
          <w:szCs w:val="20"/>
          <w:u w:val="double"/>
        </w:rPr>
        <w:t xml:space="preserve">significant </w:t>
      </w:r>
      <w:r w:rsidR="00BB734E" w:rsidRPr="00C376EC">
        <w:rPr>
          <w:sz w:val="20"/>
          <w:szCs w:val="20"/>
          <w:u w:val="double"/>
        </w:rPr>
        <w:t>limitations, refer to Appendix Section 10.5.</w:t>
      </w:r>
    </w:p>
    <w:sectPr w:rsidR="00325D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925E" w14:textId="77777777" w:rsidR="009B51B9" w:rsidRDefault="009B51B9" w:rsidP="00237923">
      <w:pPr>
        <w:spacing w:after="0" w:line="240" w:lineRule="auto"/>
      </w:pPr>
      <w:r>
        <w:separator/>
      </w:r>
    </w:p>
  </w:endnote>
  <w:endnote w:type="continuationSeparator" w:id="0">
    <w:p w14:paraId="4929D04F" w14:textId="77777777" w:rsidR="009B51B9" w:rsidRDefault="009B51B9"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79E1" w14:textId="77777777" w:rsidR="009B51B9" w:rsidRDefault="009B51B9" w:rsidP="00237923">
      <w:pPr>
        <w:spacing w:after="0" w:line="240" w:lineRule="auto"/>
      </w:pPr>
      <w:r>
        <w:separator/>
      </w:r>
    </w:p>
  </w:footnote>
  <w:footnote w:type="continuationSeparator" w:id="0">
    <w:p w14:paraId="05AA09B1" w14:textId="77777777" w:rsidR="009B51B9" w:rsidRDefault="009B51B9"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291463"/>
    <w:rsid w:val="00325D94"/>
    <w:rsid w:val="00414E3E"/>
    <w:rsid w:val="004527B0"/>
    <w:rsid w:val="00461E81"/>
    <w:rsid w:val="0047204A"/>
    <w:rsid w:val="00553D0D"/>
    <w:rsid w:val="005720E4"/>
    <w:rsid w:val="005C1477"/>
    <w:rsid w:val="0062630E"/>
    <w:rsid w:val="0078355B"/>
    <w:rsid w:val="00872DC1"/>
    <w:rsid w:val="008C2F70"/>
    <w:rsid w:val="00934D56"/>
    <w:rsid w:val="009B51B9"/>
    <w:rsid w:val="009D07CD"/>
    <w:rsid w:val="00A2464E"/>
    <w:rsid w:val="00A519E2"/>
    <w:rsid w:val="00A53D03"/>
    <w:rsid w:val="00AB6728"/>
    <w:rsid w:val="00AD7E74"/>
    <w:rsid w:val="00BB734E"/>
    <w:rsid w:val="00C005AA"/>
    <w:rsid w:val="00C376EC"/>
    <w:rsid w:val="00C54A7A"/>
    <w:rsid w:val="00C90E11"/>
    <w:rsid w:val="00CA06BA"/>
    <w:rsid w:val="00D824DE"/>
    <w:rsid w:val="00E126BD"/>
    <w:rsid w:val="00E15CD9"/>
    <w:rsid w:val="00EC6D94"/>
    <w:rsid w:val="00EF7437"/>
    <w:rsid w:val="00F44C65"/>
    <w:rsid w:val="00FC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325D94"/>
    <w:rPr>
      <w:sz w:val="16"/>
      <w:szCs w:val="16"/>
    </w:rPr>
  </w:style>
  <w:style w:type="paragraph" w:styleId="CommentText">
    <w:name w:val="annotation text"/>
    <w:basedOn w:val="Normal"/>
    <w:link w:val="CommentTextChar"/>
    <w:uiPriority w:val="99"/>
    <w:unhideWhenUsed/>
    <w:rsid w:val="00325D94"/>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325D94"/>
    <w:rPr>
      <w:rFonts w:ascii="Source Sans Pro" w:hAnsi="Source Sans Pr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jcrandell</cp:lastModifiedBy>
  <cp:revision>5</cp:revision>
  <cp:lastPrinted>2025-01-14T20:08:00Z</cp:lastPrinted>
  <dcterms:created xsi:type="dcterms:W3CDTF">2025-01-14T20:09:00Z</dcterms:created>
  <dcterms:modified xsi:type="dcterms:W3CDTF">2025-01-21T17:27:00Z</dcterms:modified>
</cp:coreProperties>
</file>