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10.4 Building Components Exclusions pg 42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Comment: We are supportive of the “building only” approach taken in this standard and agree with the exclusion of the categories of building elements in this table.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q2fkKqcdFxxJCt5toVR07fu7g==">CgMxLjA4AHIhMXVwc3hIYUlXalNpX0poTDlfT2VYdlBjSmpKQjIzeXJk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