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1E7A4" w14:textId="77777777" w:rsidR="00CF6660" w:rsidRDefault="00237923" w:rsidP="000E60B2">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r>
      <w:r w:rsidR="00CF6660">
        <w:rPr>
          <w:sz w:val="20"/>
          <w:szCs w:val="20"/>
        </w:rPr>
        <w:t>_________________________________________________________________________________________</w:t>
      </w:r>
    </w:p>
    <w:p w14:paraId="392D4EC2" w14:textId="4B80A24A" w:rsidR="0000630F" w:rsidRPr="006A1AA3" w:rsidRDefault="00CF6660" w:rsidP="006A1AA3">
      <w:pPr>
        <w:pStyle w:val="ListParagraph"/>
        <w:numPr>
          <w:ilvl w:val="0"/>
          <w:numId w:val="5"/>
        </w:numPr>
        <w:rPr>
          <w:sz w:val="20"/>
          <w:szCs w:val="20"/>
        </w:rPr>
      </w:pPr>
      <w:r w:rsidRPr="006A1AA3">
        <w:rPr>
          <w:sz w:val="20"/>
          <w:szCs w:val="20"/>
        </w:rPr>
        <w:t xml:space="preserve">The last sentence in the </w:t>
      </w:r>
      <w:r w:rsidR="00B41973">
        <w:rPr>
          <w:sz w:val="20"/>
          <w:szCs w:val="20"/>
        </w:rPr>
        <w:t>S</w:t>
      </w:r>
      <w:r w:rsidRPr="006A1AA3">
        <w:rPr>
          <w:sz w:val="20"/>
          <w:szCs w:val="20"/>
        </w:rPr>
        <w:t>cope section is more appropriate as purpose</w:t>
      </w:r>
      <w:r w:rsidR="006A1AA3" w:rsidRPr="006A1AA3">
        <w:rPr>
          <w:sz w:val="20"/>
          <w:szCs w:val="20"/>
        </w:rPr>
        <w:t xml:space="preserve"> of the </w:t>
      </w:r>
      <w:proofErr w:type="spellStart"/>
      <w:r w:rsidR="006A1AA3" w:rsidRPr="006A1AA3">
        <w:rPr>
          <w:sz w:val="20"/>
          <w:szCs w:val="20"/>
        </w:rPr>
        <w:t>Stnadard</w:t>
      </w:r>
      <w:proofErr w:type="spellEnd"/>
      <w:r w:rsidR="006A1AA3" w:rsidRPr="006A1AA3">
        <w:rPr>
          <w:sz w:val="20"/>
          <w:szCs w:val="20"/>
        </w:rPr>
        <w:t>.</w:t>
      </w:r>
    </w:p>
    <w:p w14:paraId="19FA9E88" w14:textId="5807D123" w:rsidR="006A1AA3" w:rsidRDefault="006A1AA3" w:rsidP="006A1AA3">
      <w:pPr>
        <w:pStyle w:val="ListParagraph"/>
        <w:numPr>
          <w:ilvl w:val="0"/>
          <w:numId w:val="5"/>
        </w:numPr>
        <w:rPr>
          <w:sz w:val="20"/>
          <w:szCs w:val="20"/>
        </w:rPr>
      </w:pPr>
      <w:r>
        <w:rPr>
          <w:sz w:val="20"/>
          <w:szCs w:val="20"/>
        </w:rPr>
        <w:t xml:space="preserve">The </w:t>
      </w:r>
      <w:r w:rsidR="00C37AC1">
        <w:rPr>
          <w:sz w:val="20"/>
          <w:szCs w:val="20"/>
        </w:rPr>
        <w:t xml:space="preserve">sources of renewable energy should be </w:t>
      </w:r>
      <w:r w:rsidR="00FC4FA5">
        <w:rPr>
          <w:sz w:val="20"/>
          <w:szCs w:val="20"/>
        </w:rPr>
        <w:t>mo</w:t>
      </w:r>
      <w:r w:rsidR="00412A30">
        <w:rPr>
          <w:sz w:val="20"/>
          <w:szCs w:val="20"/>
        </w:rPr>
        <w:t>r</w:t>
      </w:r>
      <w:r w:rsidR="00FC4FA5">
        <w:rPr>
          <w:sz w:val="20"/>
          <w:szCs w:val="20"/>
        </w:rPr>
        <w:t xml:space="preserve">e </w:t>
      </w:r>
      <w:r w:rsidR="00C37AC1">
        <w:rPr>
          <w:sz w:val="20"/>
          <w:szCs w:val="20"/>
        </w:rPr>
        <w:t>consistent with ASHRAE 90</w:t>
      </w:r>
      <w:r w:rsidR="00FC4FA5">
        <w:rPr>
          <w:sz w:val="20"/>
          <w:szCs w:val="20"/>
        </w:rPr>
        <w:t>.2, ASHRAE 90.1 and other Standards.  The draft qu</w:t>
      </w:r>
      <w:r w:rsidR="00045368">
        <w:rPr>
          <w:sz w:val="20"/>
          <w:szCs w:val="20"/>
        </w:rPr>
        <w:t xml:space="preserve">alification </w:t>
      </w:r>
      <w:r w:rsidR="004D1E58">
        <w:rPr>
          <w:sz w:val="20"/>
          <w:szCs w:val="20"/>
        </w:rPr>
        <w:t xml:space="preserve">in Section 4.3 </w:t>
      </w:r>
      <w:r w:rsidR="00045368">
        <w:rPr>
          <w:sz w:val="20"/>
          <w:szCs w:val="20"/>
        </w:rPr>
        <w:t>of “90% reduction” in GHG or other environmental</w:t>
      </w:r>
      <w:r w:rsidR="00493F85">
        <w:rPr>
          <w:sz w:val="20"/>
          <w:szCs w:val="20"/>
        </w:rPr>
        <w:t xml:space="preserve"> impact is </w:t>
      </w:r>
      <w:r w:rsidR="00412A30">
        <w:rPr>
          <w:sz w:val="20"/>
          <w:szCs w:val="20"/>
        </w:rPr>
        <w:t>ill-</w:t>
      </w:r>
      <w:r w:rsidR="00493F85">
        <w:rPr>
          <w:sz w:val="20"/>
          <w:szCs w:val="20"/>
        </w:rPr>
        <w:t>defined.  It is widely know</w:t>
      </w:r>
      <w:r w:rsidR="00412A30">
        <w:rPr>
          <w:sz w:val="20"/>
          <w:szCs w:val="20"/>
        </w:rPr>
        <w:t>n</w:t>
      </w:r>
      <w:r w:rsidR="00493F85">
        <w:rPr>
          <w:sz w:val="20"/>
          <w:szCs w:val="20"/>
        </w:rPr>
        <w:t xml:space="preserve"> that there is no standardized approach for measuring the</w:t>
      </w:r>
      <w:r w:rsidR="00B834DF">
        <w:rPr>
          <w:sz w:val="20"/>
          <w:szCs w:val="20"/>
        </w:rPr>
        <w:t xml:space="preserve"> GHG impacts of biomass combustion, and </w:t>
      </w:r>
      <w:r w:rsidR="00FB330D">
        <w:rPr>
          <w:sz w:val="20"/>
          <w:szCs w:val="20"/>
        </w:rPr>
        <w:t>existing</w:t>
      </w:r>
      <w:r w:rsidR="00E2292F">
        <w:rPr>
          <w:sz w:val="20"/>
          <w:szCs w:val="20"/>
        </w:rPr>
        <w:t xml:space="preserve"> </w:t>
      </w:r>
      <w:r w:rsidR="00B834DF">
        <w:rPr>
          <w:sz w:val="20"/>
          <w:szCs w:val="20"/>
        </w:rPr>
        <w:t xml:space="preserve">data for </w:t>
      </w:r>
      <w:r w:rsidR="00FF2234">
        <w:rPr>
          <w:sz w:val="20"/>
          <w:szCs w:val="20"/>
        </w:rPr>
        <w:t xml:space="preserve">claimed </w:t>
      </w:r>
      <w:r w:rsidR="00B834DF">
        <w:rPr>
          <w:sz w:val="20"/>
          <w:szCs w:val="20"/>
        </w:rPr>
        <w:t xml:space="preserve"> </w:t>
      </w:r>
      <w:r w:rsidR="00FF2234">
        <w:rPr>
          <w:sz w:val="20"/>
          <w:szCs w:val="20"/>
        </w:rPr>
        <w:t xml:space="preserve">GHG </w:t>
      </w:r>
      <w:r w:rsidR="00B834DF">
        <w:rPr>
          <w:sz w:val="20"/>
          <w:szCs w:val="20"/>
        </w:rPr>
        <w:t>impacts</w:t>
      </w:r>
      <w:r w:rsidR="00FB330D">
        <w:rPr>
          <w:sz w:val="20"/>
          <w:szCs w:val="20"/>
        </w:rPr>
        <w:t xml:space="preserve"> of</w:t>
      </w:r>
      <w:r w:rsidR="00E2292F">
        <w:rPr>
          <w:sz w:val="20"/>
          <w:szCs w:val="20"/>
        </w:rPr>
        <w:t xml:space="preserve"> biomass fuels</w:t>
      </w:r>
      <w:r w:rsidR="00B834DF">
        <w:rPr>
          <w:sz w:val="20"/>
          <w:szCs w:val="20"/>
        </w:rPr>
        <w:t xml:space="preserve"> </w:t>
      </w:r>
      <w:r w:rsidR="0096601E">
        <w:rPr>
          <w:sz w:val="20"/>
          <w:szCs w:val="20"/>
        </w:rPr>
        <w:t xml:space="preserve">have </w:t>
      </w:r>
      <w:r w:rsidR="00FB330D">
        <w:rPr>
          <w:sz w:val="20"/>
          <w:szCs w:val="20"/>
        </w:rPr>
        <w:t xml:space="preserve">very </w:t>
      </w:r>
      <w:r w:rsidR="0096601E">
        <w:rPr>
          <w:sz w:val="20"/>
          <w:szCs w:val="20"/>
        </w:rPr>
        <w:t>wide ranges , well beyond 2x</w:t>
      </w:r>
      <w:r w:rsidR="00864CDB">
        <w:rPr>
          <w:sz w:val="20"/>
          <w:szCs w:val="20"/>
        </w:rPr>
        <w:t xml:space="preserve"> of the difference between biomass and fossil fuels.  In addition</w:t>
      </w:r>
      <w:r w:rsidR="004448BE">
        <w:rPr>
          <w:sz w:val="20"/>
          <w:szCs w:val="20"/>
        </w:rPr>
        <w:t>, even within</w:t>
      </w:r>
      <w:r w:rsidR="00E2292F">
        <w:rPr>
          <w:sz w:val="20"/>
          <w:szCs w:val="20"/>
        </w:rPr>
        <w:t xml:space="preserve"> the term</w:t>
      </w:r>
      <w:r w:rsidR="004448BE">
        <w:rPr>
          <w:sz w:val="20"/>
          <w:szCs w:val="20"/>
        </w:rPr>
        <w:t xml:space="preserve"> “fossil fuels”</w:t>
      </w:r>
      <w:r w:rsidR="00AB47C4">
        <w:rPr>
          <w:sz w:val="20"/>
          <w:szCs w:val="20"/>
        </w:rPr>
        <w:t xml:space="preserve"> </w:t>
      </w:r>
      <w:r w:rsidR="00DA5299">
        <w:rPr>
          <w:sz w:val="20"/>
          <w:szCs w:val="20"/>
        </w:rPr>
        <w:t xml:space="preserve"> in Section 4.3</w:t>
      </w:r>
      <w:r w:rsidR="004448BE">
        <w:rPr>
          <w:sz w:val="20"/>
          <w:szCs w:val="20"/>
        </w:rPr>
        <w:t xml:space="preserve">, the range of </w:t>
      </w:r>
      <w:r w:rsidR="00791A5E">
        <w:rPr>
          <w:sz w:val="20"/>
          <w:szCs w:val="20"/>
        </w:rPr>
        <w:t xml:space="preserve">CO2e </w:t>
      </w:r>
      <w:r w:rsidR="004448BE">
        <w:rPr>
          <w:sz w:val="20"/>
          <w:szCs w:val="20"/>
        </w:rPr>
        <w:t>emission</w:t>
      </w:r>
      <w:r w:rsidR="00791A5E">
        <w:rPr>
          <w:sz w:val="20"/>
          <w:szCs w:val="20"/>
        </w:rPr>
        <w:t>s</w:t>
      </w:r>
      <w:r w:rsidR="004448BE">
        <w:rPr>
          <w:sz w:val="20"/>
          <w:szCs w:val="20"/>
        </w:rPr>
        <w:t xml:space="preserve"> in Table </w:t>
      </w:r>
      <w:r w:rsidR="005B22DA">
        <w:rPr>
          <w:sz w:val="20"/>
          <w:szCs w:val="20"/>
        </w:rPr>
        <w:t>4.1.1.(1)</w:t>
      </w:r>
      <w:r w:rsidR="00791A5E">
        <w:rPr>
          <w:sz w:val="20"/>
          <w:szCs w:val="20"/>
        </w:rPr>
        <w:t xml:space="preserve"> is 25.8%, </w:t>
      </w:r>
      <w:r w:rsidR="00AB47C4">
        <w:rPr>
          <w:sz w:val="20"/>
          <w:szCs w:val="20"/>
        </w:rPr>
        <w:t xml:space="preserve">which itself is </w:t>
      </w:r>
      <w:r w:rsidR="00791A5E">
        <w:rPr>
          <w:sz w:val="20"/>
          <w:szCs w:val="20"/>
        </w:rPr>
        <w:t>well beyond a 10% difference</w:t>
      </w:r>
      <w:r w:rsidR="003D5812">
        <w:rPr>
          <w:sz w:val="20"/>
          <w:szCs w:val="20"/>
        </w:rPr>
        <w:t xml:space="preserve"> requested to be demonstrated by a renewable fuel substitute.</w:t>
      </w:r>
      <w:r w:rsidR="00DA5299">
        <w:rPr>
          <w:sz w:val="20"/>
          <w:szCs w:val="20"/>
        </w:rPr>
        <w:t xml:space="preserve">  Th</w:t>
      </w:r>
      <w:r w:rsidR="004634E7">
        <w:rPr>
          <w:sz w:val="20"/>
          <w:szCs w:val="20"/>
        </w:rPr>
        <w:t>is Public Comment uses the</w:t>
      </w:r>
      <w:r w:rsidR="00DC3495">
        <w:rPr>
          <w:sz w:val="20"/>
          <w:szCs w:val="20"/>
        </w:rPr>
        <w:t xml:space="preserve"> ASHRAE 90.2 </w:t>
      </w:r>
      <w:r w:rsidR="007B5182">
        <w:rPr>
          <w:sz w:val="20"/>
          <w:szCs w:val="20"/>
        </w:rPr>
        <w:t xml:space="preserve">language delimiting </w:t>
      </w:r>
      <w:r w:rsidR="004634E7">
        <w:rPr>
          <w:sz w:val="20"/>
          <w:szCs w:val="20"/>
        </w:rPr>
        <w:t xml:space="preserve">renewable sources </w:t>
      </w:r>
      <w:proofErr w:type="gramStart"/>
      <w:r w:rsidR="00F93CA1">
        <w:rPr>
          <w:sz w:val="20"/>
          <w:szCs w:val="20"/>
        </w:rPr>
        <w:t>in order to</w:t>
      </w:r>
      <w:proofErr w:type="gramEnd"/>
      <w:r w:rsidR="00F93CA1">
        <w:rPr>
          <w:sz w:val="20"/>
          <w:szCs w:val="20"/>
        </w:rPr>
        <w:t xml:space="preserve"> reduce complexity and uncertainty</w:t>
      </w:r>
      <w:r w:rsidR="00637DFA">
        <w:rPr>
          <w:sz w:val="20"/>
          <w:szCs w:val="20"/>
        </w:rPr>
        <w:t xml:space="preserve"> of applying renewable energy in RESNET 1580</w:t>
      </w:r>
      <w:r w:rsidR="00F93CA1">
        <w:rPr>
          <w:sz w:val="20"/>
          <w:szCs w:val="20"/>
        </w:rPr>
        <w:t>.</w:t>
      </w:r>
    </w:p>
    <w:p w14:paraId="693B5CF7" w14:textId="7FC99534" w:rsidR="0000630F" w:rsidRPr="00FE1D21" w:rsidRDefault="00F93CA1" w:rsidP="00FE1D21">
      <w:pPr>
        <w:pStyle w:val="ListParagraph"/>
        <w:numPr>
          <w:ilvl w:val="0"/>
          <w:numId w:val="5"/>
        </w:numPr>
        <w:rPr>
          <w:sz w:val="20"/>
          <w:szCs w:val="20"/>
        </w:rPr>
      </w:pPr>
      <w:r>
        <w:rPr>
          <w:sz w:val="20"/>
          <w:szCs w:val="20"/>
        </w:rPr>
        <w:t xml:space="preserve">The revisions in </w:t>
      </w:r>
      <w:r w:rsidR="00FE1D21">
        <w:rPr>
          <w:sz w:val="20"/>
          <w:szCs w:val="20"/>
        </w:rPr>
        <w:t xml:space="preserve">Section 4.3 </w:t>
      </w:r>
      <w:r w:rsidR="00F55A1D">
        <w:rPr>
          <w:sz w:val="20"/>
          <w:szCs w:val="20"/>
        </w:rPr>
        <w:t xml:space="preserve"> also </w:t>
      </w:r>
      <w:r w:rsidR="00FE1D21">
        <w:rPr>
          <w:sz w:val="20"/>
          <w:szCs w:val="20"/>
        </w:rPr>
        <w:t>clarif</w:t>
      </w:r>
      <w:r w:rsidR="00570FF3">
        <w:rPr>
          <w:sz w:val="20"/>
          <w:szCs w:val="20"/>
        </w:rPr>
        <w:t xml:space="preserve">y </w:t>
      </w:r>
      <w:r w:rsidR="00FE1D21">
        <w:rPr>
          <w:sz w:val="20"/>
          <w:szCs w:val="20"/>
        </w:rPr>
        <w:t xml:space="preserve"> </w:t>
      </w:r>
      <w:r w:rsidR="00ED3196">
        <w:rPr>
          <w:sz w:val="20"/>
          <w:szCs w:val="20"/>
        </w:rPr>
        <w:t xml:space="preserve">what a user would need to determine </w:t>
      </w:r>
      <w:r w:rsidR="00FC6BE4">
        <w:rPr>
          <w:sz w:val="20"/>
          <w:szCs w:val="20"/>
        </w:rPr>
        <w:t xml:space="preserve">regarding disposition </w:t>
      </w:r>
      <w:r w:rsidR="00CB6DEE">
        <w:rPr>
          <w:sz w:val="20"/>
          <w:szCs w:val="20"/>
        </w:rPr>
        <w:t xml:space="preserve">of </w:t>
      </w:r>
      <w:r w:rsidR="00F55A1D">
        <w:rPr>
          <w:sz w:val="20"/>
          <w:szCs w:val="20"/>
        </w:rPr>
        <w:t xml:space="preserve"> </w:t>
      </w:r>
      <w:r w:rsidR="00FE1D21">
        <w:rPr>
          <w:sz w:val="20"/>
          <w:szCs w:val="20"/>
        </w:rPr>
        <w:t xml:space="preserve">RECs </w:t>
      </w:r>
      <w:r w:rsidR="00CB6DEE">
        <w:rPr>
          <w:sz w:val="20"/>
          <w:szCs w:val="20"/>
        </w:rPr>
        <w:t xml:space="preserve">for them to make undisputed claims </w:t>
      </w:r>
      <w:r w:rsidR="002637A1">
        <w:rPr>
          <w:sz w:val="20"/>
          <w:szCs w:val="20"/>
        </w:rPr>
        <w:t>towards</w:t>
      </w:r>
      <w:r w:rsidR="00CB6DEE">
        <w:rPr>
          <w:sz w:val="20"/>
          <w:szCs w:val="20"/>
        </w:rPr>
        <w:t xml:space="preserve"> renewable energy </w:t>
      </w:r>
      <w:r w:rsidR="00B4357B">
        <w:rPr>
          <w:sz w:val="20"/>
          <w:szCs w:val="20"/>
        </w:rPr>
        <w:t xml:space="preserve">for the purposes of this </w:t>
      </w:r>
      <w:r w:rsidR="00481D84">
        <w:rPr>
          <w:sz w:val="20"/>
          <w:szCs w:val="20"/>
        </w:rPr>
        <w:t>Standard</w:t>
      </w:r>
      <w:r w:rsidR="00B4357B">
        <w:rPr>
          <w:sz w:val="20"/>
          <w:szCs w:val="20"/>
        </w:rPr>
        <w:t>. T</w:t>
      </w:r>
      <w:r w:rsidR="00570FF3">
        <w:rPr>
          <w:sz w:val="20"/>
          <w:szCs w:val="20"/>
        </w:rPr>
        <w:t xml:space="preserve">he language </w:t>
      </w:r>
      <w:r w:rsidR="000F4C6C">
        <w:rPr>
          <w:sz w:val="20"/>
          <w:szCs w:val="20"/>
        </w:rPr>
        <w:t xml:space="preserve">is also </w:t>
      </w:r>
      <w:r w:rsidR="00B4357B">
        <w:rPr>
          <w:sz w:val="20"/>
          <w:szCs w:val="20"/>
        </w:rPr>
        <w:t xml:space="preserve">derived from and </w:t>
      </w:r>
      <w:r w:rsidR="000F4C6C">
        <w:rPr>
          <w:sz w:val="20"/>
          <w:szCs w:val="20"/>
        </w:rPr>
        <w:t>more consistent with ASHRAE 90.2.</w:t>
      </w: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44CCEE36" w14:textId="77777777" w:rsidR="000E60B2" w:rsidRDefault="00255E22" w:rsidP="000E60B2">
      <w:pPr>
        <w:rPr>
          <w:sz w:val="20"/>
          <w:szCs w:val="20"/>
        </w:rPr>
      </w:pPr>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E60B2">
        <w:rPr>
          <w:sz w:val="20"/>
          <w:szCs w:val="20"/>
        </w:rPr>
        <w:t>_________________________________________________________________________________________</w:t>
      </w:r>
    </w:p>
    <w:p w14:paraId="04DB74A6" w14:textId="77777777" w:rsidR="000E60B2" w:rsidRPr="00F41A5E" w:rsidRDefault="000E60B2" w:rsidP="000E60B2">
      <w:pPr>
        <w:pStyle w:val="four"/>
        <w:numPr>
          <w:ilvl w:val="0"/>
          <w:numId w:val="0"/>
        </w:numPr>
        <w:ind w:left="360"/>
        <w:rPr>
          <w:rFonts w:ascii="Arial" w:hAnsi="Arial" w:cs="Arial"/>
          <w:b/>
          <w:color w:val="FF0000"/>
          <w:sz w:val="22"/>
          <w:szCs w:val="22"/>
        </w:rPr>
      </w:pPr>
      <w:r w:rsidRPr="00F41A5E">
        <w:rPr>
          <w:rFonts w:ascii="Arial" w:hAnsi="Arial" w:cs="Arial"/>
          <w:b/>
          <w:color w:val="FF0000"/>
          <w:sz w:val="22"/>
          <w:szCs w:val="22"/>
        </w:rPr>
        <w:t>1. Purpose:</w:t>
      </w:r>
    </w:p>
    <w:p w14:paraId="7216AE69" w14:textId="77777777" w:rsidR="000E60B2" w:rsidRPr="00F41A5E" w:rsidRDefault="000E60B2" w:rsidP="000E60B2">
      <w:pPr>
        <w:pStyle w:val="four"/>
        <w:numPr>
          <w:ilvl w:val="0"/>
          <w:numId w:val="0"/>
        </w:numPr>
        <w:ind w:left="360"/>
        <w:rPr>
          <w:rFonts w:ascii="Arial" w:hAnsi="Arial" w:cs="Arial"/>
          <w:bCs w:val="0"/>
          <w:color w:val="FF0000"/>
          <w:sz w:val="22"/>
          <w:szCs w:val="22"/>
        </w:rPr>
      </w:pPr>
      <w:r w:rsidRPr="00F41A5E">
        <w:rPr>
          <w:rFonts w:ascii="Arial" w:hAnsi="Arial" w:cs="Arial"/>
          <w:bCs w:val="0"/>
          <w:color w:val="FF0000"/>
          <w:sz w:val="22"/>
          <w:szCs w:val="22"/>
        </w:rPr>
        <w:t xml:space="preserve">The provisions of this standard provide requirements on how to </w:t>
      </w:r>
      <w:r w:rsidRPr="000E60B2">
        <w:rPr>
          <w:rFonts w:ascii="Arial" w:hAnsi="Arial" w:cs="Arial"/>
          <w:bCs w:val="0"/>
          <w:color w:val="FF0000"/>
          <w:sz w:val="22"/>
          <w:szCs w:val="22"/>
        </w:rPr>
        <w:t>estimate</w:t>
      </w:r>
      <w:r w:rsidRPr="00F41A5E">
        <w:rPr>
          <w:rFonts w:ascii="Arial" w:hAnsi="Arial" w:cs="Arial"/>
          <w:bCs w:val="0"/>
          <w:color w:val="FF0000"/>
          <w:sz w:val="22"/>
          <w:szCs w:val="22"/>
        </w:rPr>
        <w:t xml:space="preserve"> </w:t>
      </w:r>
      <w:proofErr w:type="gramStart"/>
      <w:r w:rsidRPr="00F41A5E">
        <w:rPr>
          <w:rFonts w:ascii="Arial" w:hAnsi="Arial" w:cs="Arial"/>
          <w:color w:val="FF0000"/>
          <w:sz w:val="22"/>
          <w:szCs w:val="22"/>
        </w:rPr>
        <w:t>CO</w:t>
      </w:r>
      <w:r w:rsidRPr="00F41A5E">
        <w:rPr>
          <w:rFonts w:ascii="Arial" w:hAnsi="Arial" w:cs="Arial"/>
          <w:color w:val="FF0000"/>
          <w:sz w:val="22"/>
          <w:szCs w:val="22"/>
          <w:vertAlign w:val="subscript"/>
        </w:rPr>
        <w:t>2</w:t>
      </w:r>
      <w:r w:rsidRPr="00F41A5E">
        <w:rPr>
          <w:rFonts w:ascii="Arial" w:hAnsi="Arial" w:cs="Arial"/>
          <w:color w:val="FF0000"/>
          <w:sz w:val="22"/>
          <w:szCs w:val="22"/>
        </w:rPr>
        <w:t>e,</w:t>
      </w:r>
      <w:proofErr w:type="gramEnd"/>
      <w:r w:rsidRPr="00F41A5E">
        <w:rPr>
          <w:rFonts w:ascii="Arial" w:hAnsi="Arial" w:cs="Arial"/>
          <w:color w:val="FF0000"/>
          <w:sz w:val="22"/>
          <w:szCs w:val="22"/>
        </w:rPr>
        <w:t xml:space="preserve"> emissions from measured data on electricity and fuel consumption of a facility or organization. It is intended for the purposes of complying with standards on disclosure of emissions and of reducing emissions year after year using an Energy Management System such as that required by ISO 50001 and used in many utility-sponsored Strategic Energy Management programs. </w:t>
      </w:r>
      <w:r w:rsidRPr="000E60B2">
        <w:rPr>
          <w:rFonts w:ascii="Arial" w:hAnsi="Arial" w:cs="Arial"/>
          <w:color w:val="0F9ED5" w:themeColor="accent4"/>
          <w:sz w:val="22"/>
          <w:szCs w:val="22"/>
          <w:u w:val="single"/>
        </w:rPr>
        <w:t>And it can be used in conjunction with Building Performance Standards that are in effect in many cities, as well as with Energy Star Portfolio Manager.</w:t>
      </w:r>
    </w:p>
    <w:p w14:paraId="6B2DF57E" w14:textId="77777777" w:rsidR="000E60B2" w:rsidRPr="00F41A5E" w:rsidRDefault="000E60B2" w:rsidP="000E60B2">
      <w:pPr>
        <w:pStyle w:val="four"/>
        <w:numPr>
          <w:ilvl w:val="0"/>
          <w:numId w:val="0"/>
        </w:numPr>
        <w:ind w:left="360"/>
        <w:rPr>
          <w:rFonts w:ascii="Arial" w:hAnsi="Arial" w:cs="Arial"/>
          <w:bCs w:val="0"/>
          <w:color w:val="FF0000"/>
          <w:sz w:val="22"/>
          <w:szCs w:val="22"/>
        </w:rPr>
      </w:pPr>
      <w:r w:rsidRPr="00F41A5E">
        <w:rPr>
          <w:rFonts w:ascii="Arial" w:hAnsi="Arial" w:cs="Arial"/>
          <w:color w:val="FF0000"/>
          <w:sz w:val="22"/>
          <w:szCs w:val="22"/>
        </w:rPr>
        <w:t>.</w:t>
      </w:r>
    </w:p>
    <w:p w14:paraId="5D2FCCA5" w14:textId="77777777" w:rsidR="000E60B2" w:rsidRPr="00F41A5E" w:rsidRDefault="000E60B2" w:rsidP="000E60B2">
      <w:pPr>
        <w:pStyle w:val="four"/>
        <w:numPr>
          <w:ilvl w:val="0"/>
          <w:numId w:val="0"/>
        </w:numPr>
        <w:ind w:left="360"/>
        <w:rPr>
          <w:rFonts w:ascii="Arial" w:hAnsi="Arial" w:cs="Arial"/>
          <w:b/>
          <w:color w:val="FF0000"/>
          <w:sz w:val="22"/>
          <w:szCs w:val="22"/>
        </w:rPr>
      </w:pPr>
      <w:r w:rsidRPr="00F41A5E">
        <w:rPr>
          <w:rFonts w:ascii="Arial" w:hAnsi="Arial" w:cs="Arial"/>
          <w:b/>
          <w:color w:val="FF0000"/>
          <w:sz w:val="22"/>
          <w:szCs w:val="22"/>
        </w:rPr>
        <w:t xml:space="preserve">2. Scope: </w:t>
      </w:r>
    </w:p>
    <w:p w14:paraId="0DCAC91C" w14:textId="77777777" w:rsidR="000E60B2" w:rsidRDefault="000E60B2" w:rsidP="000E60B2">
      <w:pPr>
        <w:pStyle w:val="four"/>
        <w:numPr>
          <w:ilvl w:val="0"/>
          <w:numId w:val="0"/>
        </w:numPr>
        <w:ind w:left="360"/>
        <w:rPr>
          <w:rFonts w:ascii="Arial" w:hAnsi="Arial" w:cs="Arial"/>
          <w:strike/>
          <w:color w:val="FF0000"/>
          <w:sz w:val="22"/>
          <w:szCs w:val="22"/>
        </w:rPr>
      </w:pPr>
      <w:r w:rsidRPr="00F41A5E">
        <w:rPr>
          <w:rFonts w:ascii="Arial" w:hAnsi="Arial" w:cs="Arial"/>
          <w:color w:val="FF0000"/>
          <w:sz w:val="22"/>
          <w:szCs w:val="22"/>
        </w:rPr>
        <w:t>This standard applies to</w:t>
      </w:r>
      <w:r w:rsidRPr="00F41A5E">
        <w:rPr>
          <w:rFonts w:ascii="Arial" w:hAnsi="Arial" w:cs="Arial"/>
          <w:b/>
          <w:color w:val="FF0000"/>
          <w:sz w:val="22"/>
          <w:szCs w:val="22"/>
        </w:rPr>
        <w:t xml:space="preserve"> </w:t>
      </w:r>
      <w:r w:rsidRPr="00F41A5E">
        <w:rPr>
          <w:rFonts w:ascii="Arial" w:hAnsi="Arial" w:cs="Arial"/>
          <w:color w:val="FF0000"/>
          <w:sz w:val="22"/>
          <w:szCs w:val="22"/>
        </w:rPr>
        <w:t xml:space="preserve">any facility of any type that consumes electricity or other fuels. It supports emissions calculations that can be used in conjunction with calculations of the embodied emissions impacts of materials used in constructing residential buildings. It also supports compliance with the recommendations of ISO 50010, and with ISO 50001, which has been widely used for industrial facilities. </w:t>
      </w:r>
      <w:r w:rsidRPr="000E60B2">
        <w:rPr>
          <w:rFonts w:ascii="Arial" w:hAnsi="Arial" w:cs="Arial"/>
          <w:strike/>
          <w:color w:val="0F9ED5" w:themeColor="accent4"/>
          <w:sz w:val="22"/>
          <w:szCs w:val="22"/>
        </w:rPr>
        <w:t xml:space="preserve">And it can be used in conjunction with Building </w:t>
      </w:r>
      <w:r w:rsidRPr="000E60B2">
        <w:rPr>
          <w:rFonts w:ascii="Arial" w:hAnsi="Arial" w:cs="Arial"/>
          <w:strike/>
          <w:color w:val="0F9ED5" w:themeColor="accent4"/>
          <w:sz w:val="22"/>
          <w:szCs w:val="22"/>
        </w:rPr>
        <w:lastRenderedPageBreak/>
        <w:t>Performance Standards that are in effect in many cities, as well as with Energy Star Portfolio Manager.</w:t>
      </w:r>
    </w:p>
    <w:p w14:paraId="3791F19E" w14:textId="77777777" w:rsidR="000E60B2" w:rsidRPr="00F41A5E" w:rsidRDefault="000E60B2" w:rsidP="000E60B2">
      <w:pPr>
        <w:pStyle w:val="four"/>
        <w:numPr>
          <w:ilvl w:val="0"/>
          <w:numId w:val="0"/>
        </w:numPr>
        <w:ind w:left="360"/>
        <w:rPr>
          <w:rFonts w:ascii="Arial" w:hAnsi="Arial" w:cs="Arial"/>
          <w:color w:val="FF0000"/>
          <w:sz w:val="22"/>
          <w:szCs w:val="22"/>
        </w:rPr>
      </w:pPr>
    </w:p>
    <w:p w14:paraId="74EF07F2" w14:textId="77777777" w:rsidR="000E60B2" w:rsidRPr="009019E2" w:rsidRDefault="000E60B2" w:rsidP="000E60B2">
      <w:pPr>
        <w:pStyle w:val="four"/>
        <w:numPr>
          <w:ilvl w:val="0"/>
          <w:numId w:val="0"/>
        </w:numPr>
        <w:ind w:left="360"/>
        <w:rPr>
          <w:rFonts w:ascii="Arial" w:hAnsi="Arial" w:cs="Arial"/>
          <w:color w:val="FF0000"/>
          <w:sz w:val="22"/>
          <w:szCs w:val="22"/>
        </w:rPr>
      </w:pPr>
      <w:r w:rsidRPr="00C50580">
        <w:rPr>
          <w:rFonts w:ascii="Arial" w:eastAsiaTheme="minorEastAsia" w:hAnsi="Arial" w:cs="Arial"/>
          <w:b/>
          <w:color w:val="FF0000"/>
          <w:sz w:val="22"/>
          <w:szCs w:val="22"/>
        </w:rPr>
        <w:t>4</w:t>
      </w:r>
      <w:r w:rsidRPr="00C50580">
        <w:rPr>
          <w:rFonts w:asciiTheme="minorBidi" w:eastAsiaTheme="minorEastAsia" w:hAnsiTheme="minorBidi"/>
          <w:b/>
          <w:color w:val="FF0000"/>
          <w:sz w:val="22"/>
          <w:szCs w:val="22"/>
        </w:rPr>
        <w:t>.3</w:t>
      </w:r>
      <w:r w:rsidRPr="0071272B">
        <w:rPr>
          <w:rFonts w:asciiTheme="minorBidi" w:eastAsiaTheme="minorEastAsia" w:hAnsiTheme="minorBidi"/>
          <w:color w:val="FF0000"/>
          <w:sz w:val="22"/>
          <w:szCs w:val="22"/>
          <w:u w:val="single"/>
        </w:rPr>
        <w:t xml:space="preserve"> </w:t>
      </w:r>
      <w:r w:rsidRPr="009019E2">
        <w:rPr>
          <w:rFonts w:ascii="Arial" w:hAnsi="Arial" w:cs="Arial"/>
          <w:color w:val="FF0000"/>
          <w:sz w:val="22"/>
          <w:szCs w:val="22"/>
        </w:rPr>
        <w:t xml:space="preserve">Renewable Energy. Renewable energy shall be limited to sources that are not counted toward a renewable energy portfolio </w:t>
      </w:r>
      <w:r w:rsidRPr="000E60B2">
        <w:rPr>
          <w:rFonts w:ascii="Arial" w:hAnsi="Arial" w:cs="Arial"/>
          <w:color w:val="0F9ED5" w:themeColor="accent4"/>
          <w:sz w:val="22"/>
          <w:szCs w:val="22"/>
          <w:u w:val="single"/>
        </w:rPr>
        <w:t>nor claimed by</w:t>
      </w:r>
      <w:r w:rsidRPr="000E60B2">
        <w:rPr>
          <w:rFonts w:ascii="Arial" w:hAnsi="Arial" w:cs="Arial"/>
          <w:color w:val="0F9ED5" w:themeColor="accent4"/>
          <w:sz w:val="22"/>
          <w:szCs w:val="22"/>
        </w:rPr>
        <w:t xml:space="preserve"> </w:t>
      </w:r>
      <w:r w:rsidRPr="000E60B2">
        <w:rPr>
          <w:rFonts w:ascii="Arial" w:hAnsi="Arial" w:cs="Arial"/>
          <w:strike/>
          <w:color w:val="0F9ED5" w:themeColor="accent4"/>
          <w:sz w:val="22"/>
          <w:szCs w:val="22"/>
        </w:rPr>
        <w:t xml:space="preserve">or toward </w:t>
      </w:r>
      <w:r w:rsidRPr="000E60B2">
        <w:rPr>
          <w:rFonts w:ascii="Arial" w:hAnsi="Arial" w:cs="Arial"/>
          <w:color w:val="0F9ED5" w:themeColor="accent4"/>
          <w:sz w:val="22"/>
          <w:szCs w:val="22"/>
        </w:rPr>
        <w:t xml:space="preserve">a renewables acquisition goal of another organization, and </w:t>
      </w:r>
      <w:r w:rsidRPr="000E60B2">
        <w:rPr>
          <w:rFonts w:ascii="Arial" w:hAnsi="Arial" w:cs="Arial"/>
          <w:color w:val="0F9ED5" w:themeColor="accent4"/>
          <w:sz w:val="22"/>
          <w:szCs w:val="22"/>
          <w:u w:val="single"/>
        </w:rPr>
        <w:t>comes from any combination of photovoltaic, geothermal energy (not including ground source heat pumps), or wind systems.</w:t>
      </w:r>
      <w:r w:rsidRPr="000E60B2">
        <w:rPr>
          <w:color w:val="0F9ED5" w:themeColor="accent4"/>
          <w:sz w:val="23"/>
          <w:szCs w:val="23"/>
        </w:rPr>
        <w:t xml:space="preserve"> </w:t>
      </w:r>
      <w:r w:rsidRPr="000E60B2">
        <w:rPr>
          <w:rFonts w:ascii="Arial" w:hAnsi="Arial" w:cs="Arial"/>
          <w:strike/>
          <w:color w:val="0F9ED5" w:themeColor="accent4"/>
          <w:sz w:val="22"/>
          <w:szCs w:val="22"/>
        </w:rPr>
        <w:t xml:space="preserve">that either produce thermal energy or produce electric power that rely on </w:t>
      </w:r>
      <w:proofErr w:type="gramStart"/>
      <w:r w:rsidRPr="000E60B2">
        <w:rPr>
          <w:rFonts w:ascii="Arial" w:hAnsi="Arial" w:cs="Arial"/>
          <w:strike/>
          <w:color w:val="0F9ED5" w:themeColor="accent4"/>
          <w:sz w:val="22"/>
          <w:szCs w:val="22"/>
        </w:rPr>
        <w:t>naturally-occurring</w:t>
      </w:r>
      <w:proofErr w:type="gramEnd"/>
      <w:r w:rsidRPr="000E60B2">
        <w:rPr>
          <w:rFonts w:ascii="Arial" w:hAnsi="Arial" w:cs="Arial"/>
          <w:strike/>
          <w:color w:val="0F9ED5" w:themeColor="accent4"/>
          <w:sz w:val="22"/>
          <w:szCs w:val="22"/>
        </w:rPr>
        <w:t xml:space="preserve">, on-site resources that are not depleted as a result of their use, and whose direct or indirect </w:t>
      </w:r>
      <w:r w:rsidRPr="000E60B2">
        <w:rPr>
          <w:rFonts w:ascii="Arial" w:hAnsi="Arial" w:cs="Arial"/>
          <w:strike/>
          <w:color w:val="0F9ED5" w:themeColor="accent4"/>
          <w:sz w:val="22"/>
          <w:szCs w:val="22"/>
          <w:u w:val="single"/>
        </w:rPr>
        <w:t>Co2</w:t>
      </w:r>
      <w:r w:rsidRPr="000E60B2">
        <w:rPr>
          <w:rFonts w:ascii="Arial" w:hAnsi="Arial" w:cs="Arial"/>
          <w:strike/>
          <w:color w:val="0F9ED5" w:themeColor="accent4"/>
          <w:sz w:val="22"/>
          <w:szCs w:val="22"/>
          <w:u w:val="single"/>
          <w:vertAlign w:val="subscript"/>
        </w:rPr>
        <w:t>e</w:t>
      </w:r>
      <w:r w:rsidRPr="000E60B2">
        <w:rPr>
          <w:rFonts w:ascii="Arial" w:hAnsi="Arial" w:cs="Arial"/>
          <w:strike/>
          <w:color w:val="0F9ED5" w:themeColor="accent4"/>
          <w:sz w:val="22"/>
          <w:szCs w:val="22"/>
        </w:rPr>
        <w:t xml:space="preserve"> emissions of greenhouse gas, other gases with adverse impacts on human health, water pollutants, or other toxic releases, and whose impacts on ecosystems are at least 90% lower than those of fossil fuels.</w:t>
      </w:r>
      <w:r w:rsidRPr="009019E2">
        <w:rPr>
          <w:rFonts w:ascii="Arial" w:hAnsi="Arial" w:cs="Arial"/>
          <w:color w:val="FF0000"/>
          <w:sz w:val="22"/>
          <w:szCs w:val="22"/>
        </w:rPr>
        <w:t xml:space="preserve"> Renewable energy sources off site shall be owned by the </w:t>
      </w:r>
      <w:proofErr w:type="gramStart"/>
      <w:r w:rsidRPr="009019E2">
        <w:rPr>
          <w:rFonts w:ascii="Arial" w:hAnsi="Arial" w:cs="Arial"/>
          <w:color w:val="FF0000"/>
          <w:sz w:val="22"/>
          <w:szCs w:val="22"/>
        </w:rPr>
        <w:t>organization, or</w:t>
      </w:r>
      <w:proofErr w:type="gramEnd"/>
      <w:r w:rsidRPr="009019E2">
        <w:rPr>
          <w:rFonts w:ascii="Arial" w:hAnsi="Arial" w:cs="Arial"/>
          <w:color w:val="FF0000"/>
          <w:sz w:val="22"/>
          <w:szCs w:val="22"/>
        </w:rPr>
        <w:t xml:space="preserve"> shall be leased for a 15-year or greater term.</w:t>
      </w:r>
    </w:p>
    <w:p w14:paraId="1110CF0B" w14:textId="77777777" w:rsidR="000E60B2" w:rsidRPr="00543925" w:rsidRDefault="000E60B2" w:rsidP="000E60B2">
      <w:pPr>
        <w:pStyle w:val="four"/>
        <w:numPr>
          <w:ilvl w:val="0"/>
          <w:numId w:val="0"/>
        </w:numPr>
        <w:ind w:left="360"/>
        <w:rPr>
          <w:rFonts w:ascii="Arial" w:hAnsi="Arial" w:cs="Arial"/>
          <w:color w:val="FF0000"/>
          <w:sz w:val="22"/>
          <w:szCs w:val="22"/>
        </w:rPr>
      </w:pPr>
      <w:r w:rsidRPr="00543925">
        <w:rPr>
          <w:rFonts w:ascii="Arial" w:hAnsi="Arial" w:cs="Arial"/>
          <w:color w:val="FF0000"/>
          <w:sz w:val="22"/>
          <w:szCs w:val="22"/>
        </w:rPr>
        <w:t>Note 1 to entry: Geothermal energy that releases high levels of SO</w:t>
      </w:r>
      <w:r w:rsidRPr="00543925">
        <w:rPr>
          <w:rFonts w:ascii="Arial" w:hAnsi="Arial" w:cs="Arial"/>
        </w:rPr>
        <w:t xml:space="preserve">2 </w:t>
      </w:r>
      <w:r w:rsidRPr="00543925">
        <w:rPr>
          <w:rFonts w:ascii="Arial" w:hAnsi="Arial" w:cs="Arial"/>
          <w:color w:val="FF0000"/>
          <w:sz w:val="22"/>
          <w:szCs w:val="22"/>
        </w:rPr>
        <w:t>gases to the atmosphere does not qualify under this requirement.</w:t>
      </w:r>
    </w:p>
    <w:p w14:paraId="4CE3A3D9" w14:textId="77777777" w:rsidR="000E60B2" w:rsidRPr="000E60B2" w:rsidRDefault="000E60B2" w:rsidP="000E60B2">
      <w:pPr>
        <w:pStyle w:val="four"/>
        <w:numPr>
          <w:ilvl w:val="0"/>
          <w:numId w:val="0"/>
        </w:numPr>
        <w:ind w:left="360"/>
        <w:rPr>
          <w:rFonts w:ascii="Arial" w:hAnsi="Arial" w:cs="Arial"/>
          <w:strike/>
          <w:color w:val="0F9ED5" w:themeColor="accent4"/>
          <w:sz w:val="22"/>
          <w:szCs w:val="22"/>
        </w:rPr>
      </w:pPr>
      <w:r w:rsidRPr="000E60B2">
        <w:rPr>
          <w:rFonts w:ascii="Arial" w:hAnsi="Arial" w:cs="Arial"/>
          <w:strike/>
          <w:color w:val="0F9ED5" w:themeColor="accent4"/>
          <w:sz w:val="22"/>
          <w:szCs w:val="22"/>
        </w:rPr>
        <w:t xml:space="preserve">Note 2 to entry: Wood pellet or solid wood combustion does not qualify if the GHG emissions associated with producing the wood-derived fuels are not at least 90% lower than those from gas-fired generation. </w:t>
      </w:r>
    </w:p>
    <w:p w14:paraId="5411A747" w14:textId="77777777" w:rsidR="000E60B2" w:rsidRPr="000E60B2" w:rsidRDefault="000E60B2" w:rsidP="000E60B2">
      <w:pPr>
        <w:pStyle w:val="four"/>
        <w:numPr>
          <w:ilvl w:val="0"/>
          <w:numId w:val="0"/>
        </w:numPr>
        <w:ind w:left="360"/>
        <w:rPr>
          <w:rFonts w:ascii="Arial" w:hAnsi="Arial" w:cs="Arial"/>
          <w:strike/>
          <w:color w:val="0F9ED5" w:themeColor="accent4"/>
          <w:sz w:val="22"/>
          <w:szCs w:val="22"/>
        </w:rPr>
      </w:pPr>
      <w:r w:rsidRPr="000E60B2">
        <w:rPr>
          <w:rFonts w:ascii="Arial" w:hAnsi="Arial" w:cs="Arial"/>
          <w:strike/>
          <w:color w:val="0F9ED5" w:themeColor="accent4"/>
          <w:sz w:val="22"/>
          <w:szCs w:val="22"/>
        </w:rPr>
        <w:t>Renewable Energy Systems shall include, but are not limited to, solar energy systems, wind energy systems and biomass energy systems.</w:t>
      </w:r>
    </w:p>
    <w:p w14:paraId="444B3AC4" w14:textId="77777777" w:rsidR="000E60B2" w:rsidRPr="0000630F" w:rsidRDefault="000E60B2" w:rsidP="000E60B2">
      <w:pPr>
        <w:autoSpaceDE w:val="0"/>
        <w:autoSpaceDN w:val="0"/>
        <w:adjustRightInd w:val="0"/>
        <w:spacing w:after="0" w:line="240" w:lineRule="auto"/>
        <w:ind w:left="360"/>
        <w:rPr>
          <w:sz w:val="20"/>
          <w:szCs w:val="20"/>
        </w:rPr>
      </w:pPr>
      <w:r w:rsidRPr="000E60B2">
        <w:rPr>
          <w:rFonts w:ascii="Arial" w:hAnsi="Arial" w:cs="Arial"/>
          <w:color w:val="0F9ED5" w:themeColor="accent4"/>
          <w:sz w:val="22"/>
          <w:szCs w:val="22"/>
        </w:rPr>
        <w:t xml:space="preserve">Renewable Energy shall not include </w:t>
      </w:r>
      <w:r w:rsidRPr="000E60B2">
        <w:rPr>
          <w:rFonts w:ascii="Arial" w:hAnsi="Arial" w:cs="Arial"/>
          <w:color w:val="0F9ED5" w:themeColor="accent4"/>
          <w:sz w:val="22"/>
          <w:szCs w:val="22"/>
          <w:u w:val="single"/>
        </w:rPr>
        <w:t>unbundled</w:t>
      </w:r>
      <w:r w:rsidRPr="000E60B2">
        <w:rPr>
          <w:rFonts w:ascii="Arial" w:hAnsi="Arial" w:cs="Arial"/>
          <w:color w:val="0F9ED5" w:themeColor="accent4"/>
          <w:sz w:val="22"/>
          <w:szCs w:val="22"/>
        </w:rPr>
        <w:t xml:space="preserve"> renewable Energy Credits (REC’s) </w:t>
      </w:r>
      <w:r w:rsidRPr="000E60B2">
        <w:rPr>
          <w:rFonts w:ascii="Arial" w:hAnsi="Arial" w:cs="Arial"/>
          <w:strike/>
          <w:color w:val="0F9ED5" w:themeColor="accent4"/>
          <w:sz w:val="22"/>
          <w:szCs w:val="22"/>
        </w:rPr>
        <w:t xml:space="preserve">for which the time of production and the grid </w:t>
      </w:r>
      <w:proofErr w:type="gramStart"/>
      <w:r w:rsidRPr="000E60B2">
        <w:rPr>
          <w:rFonts w:ascii="Arial" w:hAnsi="Arial" w:cs="Arial"/>
          <w:strike/>
          <w:color w:val="0F9ED5" w:themeColor="accent4"/>
          <w:sz w:val="22"/>
          <w:szCs w:val="22"/>
        </w:rPr>
        <w:t>into</w:t>
      </w:r>
      <w:proofErr w:type="gramEnd"/>
      <w:r w:rsidRPr="000E60B2">
        <w:rPr>
          <w:rFonts w:ascii="Arial" w:hAnsi="Arial" w:cs="Arial"/>
          <w:strike/>
          <w:color w:val="0F9ED5" w:themeColor="accent4"/>
          <w:sz w:val="22"/>
          <w:szCs w:val="22"/>
        </w:rPr>
        <w:t xml:space="preserve"> which they are supplied are not known. Renewable Energy shall be produced from systems that retire any RECs that they could generate.</w:t>
      </w:r>
      <w:r w:rsidRPr="000E60B2">
        <w:rPr>
          <w:rFonts w:ascii="ArialMT" w:hAnsi="ArialMT" w:cs="ArialMT"/>
          <w:strike/>
          <w:color w:val="0F9ED5" w:themeColor="accent4"/>
          <w:kern w:val="0"/>
          <w:sz w:val="23"/>
          <w:szCs w:val="23"/>
        </w:rPr>
        <w:t xml:space="preserve"> </w:t>
      </w:r>
      <w:r w:rsidRPr="001053C4">
        <w:rPr>
          <w:rFonts w:ascii="Arial" w:hAnsi="Arial" w:cs="Arial"/>
          <w:color w:val="FF0000"/>
          <w:sz w:val="22"/>
          <w:szCs w:val="22"/>
        </w:rPr>
        <w:t>RECs  associated with on-site and off-site renewable energy production used for estimating CO2e emissions shall be retained and retired on behalf of the project for a period of not less than 15 years</w:t>
      </w:r>
    </w:p>
    <w:p w14:paraId="151A413B" w14:textId="77777777" w:rsidR="000E60B2" w:rsidRPr="0000630F" w:rsidRDefault="000E60B2" w:rsidP="000E60B2">
      <w:pPr>
        <w:rPr>
          <w:sz w:val="20"/>
          <w:szCs w:val="20"/>
        </w:rPr>
      </w:pPr>
    </w:p>
    <w:p w14:paraId="7DD8A835" w14:textId="2B45279C" w:rsidR="0000630F" w:rsidRPr="0000630F" w:rsidRDefault="0000630F"/>
    <w:sectPr w:rsidR="0000630F" w:rsidRPr="0000630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D4BA5" w14:textId="77777777" w:rsidR="00E30261" w:rsidRDefault="00E30261" w:rsidP="00237923">
      <w:pPr>
        <w:spacing w:after="0" w:line="240" w:lineRule="auto"/>
      </w:pPr>
      <w:r>
        <w:separator/>
      </w:r>
    </w:p>
  </w:endnote>
  <w:endnote w:type="continuationSeparator" w:id="0">
    <w:p w14:paraId="3EC2F221" w14:textId="77777777" w:rsidR="00E30261" w:rsidRDefault="00E30261"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76BD4" w14:textId="77777777" w:rsidR="00E30261" w:rsidRDefault="00E30261" w:rsidP="00237923">
      <w:pPr>
        <w:spacing w:after="0" w:line="240" w:lineRule="auto"/>
      </w:pPr>
      <w:r>
        <w:separator/>
      </w:r>
    </w:p>
  </w:footnote>
  <w:footnote w:type="continuationSeparator" w:id="0">
    <w:p w14:paraId="43B4D28D" w14:textId="77777777" w:rsidR="00E30261" w:rsidRDefault="00E30261"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86173"/>
    <w:multiLevelType w:val="hybridMultilevel"/>
    <w:tmpl w:val="80CEB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04D5B"/>
    <w:multiLevelType w:val="multilevel"/>
    <w:tmpl w:val="8F8EDD28"/>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2" w15:restartNumberingAfterBreak="0">
    <w:nsid w:val="73BA6872"/>
    <w:multiLevelType w:val="multilevel"/>
    <w:tmpl w:val="8F8EDD28"/>
    <w:numStyleLink w:val="RESNETstd"/>
  </w:abstractNum>
  <w:num w:numId="1" w16cid:durableId="2071492661">
    <w:abstractNumId w:val="1"/>
  </w:num>
  <w:num w:numId="2" w16cid:durableId="1214853819">
    <w:abstractNumId w:val="2"/>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strike w:val="0"/>
          <w:color w:val="auto"/>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3474"/>
          </w:tabs>
          <w:ind w:left="2250" w:firstLine="0"/>
        </w:pPr>
        <w:rPr>
          <w:rFonts w:hint="default"/>
          <w:b/>
          <w:strike/>
          <w:color w:val="auto"/>
        </w:rPr>
      </w:lvl>
    </w:lvlOverride>
    <w:lvlOverride w:ilvl="6">
      <w:lvl w:ilvl="6">
        <w:start w:val="1"/>
        <w:numFmt w:val="decimal"/>
        <w:pStyle w:val="seven"/>
        <w:lvlText w:val="%1.%2.%3.%4.%5.%6.%7."/>
        <w:lvlJc w:val="left"/>
        <w:pPr>
          <w:tabs>
            <w:tab w:val="num" w:pos="2520"/>
          </w:tabs>
          <w:ind w:left="1440" w:firstLine="0"/>
        </w:pPr>
        <w:rPr>
          <w:rFonts w:hint="default"/>
          <w:b/>
          <w:strike/>
          <w:color w:val="FF0000"/>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3" w16cid:durableId="1221360419">
    <w:abstractNumId w:val="2"/>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strike w:val="0"/>
          <w:color w:val="auto"/>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3474"/>
          </w:tabs>
          <w:ind w:left="2250" w:firstLine="0"/>
        </w:pPr>
        <w:rPr>
          <w:rFonts w:hint="default"/>
          <w:b/>
          <w:strike/>
          <w:color w:val="auto"/>
        </w:rPr>
      </w:lvl>
    </w:lvlOverride>
    <w:lvlOverride w:ilvl="6">
      <w:lvl w:ilvl="6">
        <w:start w:val="1"/>
        <w:numFmt w:val="decimal"/>
        <w:pStyle w:val="seven"/>
        <w:lvlText w:val="%1.%2.%3.%4.%5.%6.%7."/>
        <w:lvlJc w:val="left"/>
        <w:pPr>
          <w:tabs>
            <w:tab w:val="num" w:pos="2520"/>
          </w:tabs>
          <w:ind w:left="1440" w:firstLine="0"/>
        </w:pPr>
        <w:rPr>
          <w:rFonts w:hint="default"/>
          <w:b/>
          <w:strike/>
          <w:color w:val="FF0000"/>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4" w16cid:durableId="1888636567">
    <w:abstractNumId w:val="2"/>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strike w:val="0"/>
          <w:color w:val="auto"/>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3474"/>
          </w:tabs>
          <w:ind w:left="2250" w:firstLine="0"/>
        </w:pPr>
        <w:rPr>
          <w:rFonts w:hint="default"/>
          <w:b/>
          <w:strike/>
          <w:color w:val="auto"/>
        </w:rPr>
      </w:lvl>
    </w:lvlOverride>
    <w:lvlOverride w:ilvl="6">
      <w:lvl w:ilvl="6">
        <w:start w:val="1"/>
        <w:numFmt w:val="decimal"/>
        <w:pStyle w:val="seven"/>
        <w:lvlText w:val="%1.%2.%3.%4.%5.%6.%7."/>
        <w:lvlJc w:val="left"/>
        <w:pPr>
          <w:tabs>
            <w:tab w:val="num" w:pos="2520"/>
          </w:tabs>
          <w:ind w:left="1440" w:firstLine="0"/>
        </w:pPr>
        <w:rPr>
          <w:rFonts w:hint="default"/>
          <w:b/>
          <w:strike/>
          <w:color w:val="FF0000"/>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5" w16cid:durableId="145976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1617E"/>
    <w:rsid w:val="00036584"/>
    <w:rsid w:val="00045368"/>
    <w:rsid w:val="00055E1A"/>
    <w:rsid w:val="000E18FA"/>
    <w:rsid w:val="000E60B2"/>
    <w:rsid w:val="000F4C6C"/>
    <w:rsid w:val="001053C4"/>
    <w:rsid w:val="002377BD"/>
    <w:rsid w:val="00237923"/>
    <w:rsid w:val="00255E22"/>
    <w:rsid w:val="002637A1"/>
    <w:rsid w:val="00306F04"/>
    <w:rsid w:val="003D5812"/>
    <w:rsid w:val="003F458A"/>
    <w:rsid w:val="00412A30"/>
    <w:rsid w:val="004448BE"/>
    <w:rsid w:val="004634E7"/>
    <w:rsid w:val="00481D84"/>
    <w:rsid w:val="00493F85"/>
    <w:rsid w:val="004D1E58"/>
    <w:rsid w:val="004D3052"/>
    <w:rsid w:val="00543925"/>
    <w:rsid w:val="00553D0D"/>
    <w:rsid w:val="00570FF3"/>
    <w:rsid w:val="00574DBB"/>
    <w:rsid w:val="00576161"/>
    <w:rsid w:val="005B22DA"/>
    <w:rsid w:val="005B4CB1"/>
    <w:rsid w:val="005C1477"/>
    <w:rsid w:val="00636F04"/>
    <w:rsid w:val="00637DFA"/>
    <w:rsid w:val="00686DA5"/>
    <w:rsid w:val="006A1AA3"/>
    <w:rsid w:val="00791A5E"/>
    <w:rsid w:val="007B5182"/>
    <w:rsid w:val="00864CDB"/>
    <w:rsid w:val="008C2F70"/>
    <w:rsid w:val="009019E2"/>
    <w:rsid w:val="0096601E"/>
    <w:rsid w:val="00975E65"/>
    <w:rsid w:val="0099003C"/>
    <w:rsid w:val="00A13C97"/>
    <w:rsid w:val="00A43D74"/>
    <w:rsid w:val="00A519E2"/>
    <w:rsid w:val="00AB47C4"/>
    <w:rsid w:val="00AB6728"/>
    <w:rsid w:val="00B41973"/>
    <w:rsid w:val="00B4357B"/>
    <w:rsid w:val="00B834DF"/>
    <w:rsid w:val="00C37AC1"/>
    <w:rsid w:val="00C50580"/>
    <w:rsid w:val="00C61837"/>
    <w:rsid w:val="00CB05B7"/>
    <w:rsid w:val="00CB6DEE"/>
    <w:rsid w:val="00CF6660"/>
    <w:rsid w:val="00D824DE"/>
    <w:rsid w:val="00DA5299"/>
    <w:rsid w:val="00DC00A9"/>
    <w:rsid w:val="00DC3495"/>
    <w:rsid w:val="00DE4E70"/>
    <w:rsid w:val="00E22168"/>
    <w:rsid w:val="00E2292F"/>
    <w:rsid w:val="00E23698"/>
    <w:rsid w:val="00E2796A"/>
    <w:rsid w:val="00E30261"/>
    <w:rsid w:val="00ED3196"/>
    <w:rsid w:val="00EE61F3"/>
    <w:rsid w:val="00F41A5E"/>
    <w:rsid w:val="00F44C65"/>
    <w:rsid w:val="00F55A1D"/>
    <w:rsid w:val="00F7395F"/>
    <w:rsid w:val="00F93CA1"/>
    <w:rsid w:val="00FB330D"/>
    <w:rsid w:val="00FC4FA5"/>
    <w:rsid w:val="00FC6BE4"/>
    <w:rsid w:val="00FE1D21"/>
    <w:rsid w:val="00FF2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numbering" w:customStyle="1" w:styleId="RESNETstd">
    <w:name w:val="RESNET_std"/>
    <w:uiPriority w:val="99"/>
    <w:rsid w:val="00574DBB"/>
    <w:pPr>
      <w:numPr>
        <w:numId w:val="1"/>
      </w:numPr>
    </w:pPr>
  </w:style>
  <w:style w:type="paragraph" w:customStyle="1" w:styleId="three">
    <w:name w:val="three"/>
    <w:basedOn w:val="Heading3"/>
    <w:qFormat/>
    <w:rsid w:val="00574DBB"/>
    <w:pPr>
      <w:keepNext w:val="0"/>
      <w:keepLines w:val="0"/>
      <w:numPr>
        <w:ilvl w:val="2"/>
        <w:numId w:val="2"/>
      </w:numPr>
      <w:tabs>
        <w:tab w:val="clear" w:pos="720"/>
        <w:tab w:val="num" w:pos="360"/>
      </w:tabs>
      <w:spacing w:before="0" w:after="120" w:line="240" w:lineRule="auto"/>
    </w:pPr>
    <w:rPr>
      <w:rFonts w:ascii="Times New Roman" w:eastAsia="Times New Roman" w:hAnsi="Times New Roman" w:cs="Times New Roman"/>
      <w:bCs/>
      <w:color w:val="auto"/>
      <w:kern w:val="0"/>
      <w:sz w:val="24"/>
      <w:szCs w:val="24"/>
      <w14:ligatures w14:val="none"/>
    </w:rPr>
  </w:style>
  <w:style w:type="paragraph" w:customStyle="1" w:styleId="four">
    <w:name w:val="four"/>
    <w:basedOn w:val="Heading3"/>
    <w:link w:val="fourChar"/>
    <w:qFormat/>
    <w:rsid w:val="00574DBB"/>
    <w:pPr>
      <w:keepNext w:val="0"/>
      <w:keepLines w:val="0"/>
      <w:numPr>
        <w:ilvl w:val="3"/>
        <w:numId w:val="2"/>
      </w:numPr>
      <w:spacing w:before="0" w:after="120" w:line="240" w:lineRule="auto"/>
    </w:pPr>
    <w:rPr>
      <w:rFonts w:ascii="Times New Roman" w:eastAsia="Times New Roman" w:hAnsi="Times New Roman" w:cs="Times New Roman"/>
      <w:bCs/>
      <w:color w:val="0A2F40" w:themeColor="accent1" w:themeShade="7F"/>
      <w:kern w:val="0"/>
      <w14:ligatures w14:val="none"/>
    </w:rPr>
  </w:style>
  <w:style w:type="paragraph" w:customStyle="1" w:styleId="five">
    <w:name w:val="five"/>
    <w:basedOn w:val="Heading3"/>
    <w:qFormat/>
    <w:rsid w:val="00574DBB"/>
    <w:pPr>
      <w:keepNext w:val="0"/>
      <w:keepLines w:val="0"/>
      <w:numPr>
        <w:ilvl w:val="4"/>
        <w:numId w:val="2"/>
      </w:numPr>
      <w:tabs>
        <w:tab w:val="clear" w:pos="1800"/>
      </w:tabs>
      <w:spacing w:before="0" w:after="120" w:line="240" w:lineRule="auto"/>
    </w:pPr>
    <w:rPr>
      <w:rFonts w:ascii="Times New Roman" w:eastAsia="Times New Roman" w:hAnsi="Times New Roman" w:cs="Times New Roman"/>
      <w:bCs/>
      <w:color w:val="0A2F40" w:themeColor="accent1" w:themeShade="7F"/>
      <w:kern w:val="0"/>
      <w:sz w:val="24"/>
      <w:szCs w:val="24"/>
      <w14:ligatures w14:val="none"/>
    </w:rPr>
  </w:style>
  <w:style w:type="character" w:customStyle="1" w:styleId="fourChar">
    <w:name w:val="four Char"/>
    <w:basedOn w:val="Heading3Char"/>
    <w:link w:val="four"/>
    <w:rsid w:val="00574DBB"/>
    <w:rPr>
      <w:rFonts w:ascii="Times New Roman" w:eastAsia="Times New Roman" w:hAnsi="Times New Roman" w:cs="Times New Roman"/>
      <w:bCs/>
      <w:color w:val="0A2F40" w:themeColor="accent1" w:themeShade="7F"/>
      <w:kern w:val="0"/>
      <w:sz w:val="28"/>
      <w:szCs w:val="28"/>
      <w14:ligatures w14:val="none"/>
    </w:rPr>
  </w:style>
  <w:style w:type="paragraph" w:customStyle="1" w:styleId="seven">
    <w:name w:val="seven"/>
    <w:basedOn w:val="Normal"/>
    <w:rsid w:val="00574DBB"/>
    <w:pPr>
      <w:numPr>
        <w:ilvl w:val="6"/>
        <w:numId w:val="2"/>
      </w:numPr>
      <w:tabs>
        <w:tab w:val="left" w:pos="748"/>
      </w:tabs>
      <w:spacing w:before="120" w:after="0" w:line="240" w:lineRule="auto"/>
    </w:pPr>
    <w:rPr>
      <w:rFonts w:ascii="Times New Roman" w:eastAsia="Times New Roman" w:hAnsi="Times New Roman" w:cs="Times New Roman"/>
      <w:kern w:val="0"/>
      <w14:ligatures w14:val="none"/>
    </w:rPr>
  </w:style>
  <w:style w:type="paragraph" w:customStyle="1" w:styleId="sixth">
    <w:name w:val="sixth"/>
    <w:basedOn w:val="Heading3"/>
    <w:qFormat/>
    <w:rsid w:val="00574DBB"/>
    <w:pPr>
      <w:keepNext w:val="0"/>
      <w:keepLines w:val="0"/>
      <w:numPr>
        <w:ilvl w:val="5"/>
        <w:numId w:val="2"/>
      </w:numPr>
      <w:tabs>
        <w:tab w:val="clear" w:pos="3474"/>
        <w:tab w:val="num" w:pos="2304"/>
      </w:tabs>
      <w:spacing w:before="0" w:after="60" w:line="240" w:lineRule="auto"/>
      <w:ind w:left="1080"/>
    </w:pPr>
    <w:rPr>
      <w:rFonts w:ascii="Times New Roman" w:eastAsia="Times New Roman" w:hAnsi="Times New Roman" w:cs="Times New Roman"/>
      <w:bCs/>
      <w:color w:val="auto"/>
      <w:kern w:val="0"/>
      <w:sz w:val="24"/>
      <w:szCs w:val="24"/>
      <w14:ligatures w14:val="none"/>
    </w:rPr>
  </w:style>
  <w:style w:type="paragraph" w:customStyle="1" w:styleId="two">
    <w:name w:val="two"/>
    <w:basedOn w:val="Normal"/>
    <w:qFormat/>
    <w:rsid w:val="00574DBB"/>
    <w:pPr>
      <w:numPr>
        <w:ilvl w:val="1"/>
        <w:numId w:val="2"/>
      </w:numPr>
      <w:tabs>
        <w:tab w:val="left" w:pos="748"/>
      </w:tabs>
      <w:spacing w:before="120" w:after="0" w:line="240" w:lineRule="auto"/>
    </w:pPr>
    <w:rPr>
      <w:rFonts w:ascii="Times New Roman" w:eastAsia="Times New Roman" w:hAnsi="Times New Roman" w:cs="Times New Roman"/>
      <w:kern w:val="0"/>
      <w14:ligatures w14:val="none"/>
    </w:rPr>
  </w:style>
  <w:style w:type="paragraph" w:customStyle="1" w:styleId="eight">
    <w:name w:val="eight"/>
    <w:basedOn w:val="Normal"/>
    <w:qFormat/>
    <w:rsid w:val="00574DBB"/>
    <w:pPr>
      <w:numPr>
        <w:ilvl w:val="7"/>
        <w:numId w:val="2"/>
      </w:numPr>
      <w:spacing w:after="0" w:line="240" w:lineRule="auto"/>
    </w:pPr>
    <w:rPr>
      <w:rFonts w:ascii="Times New Roman" w:eastAsia="Times New Roman" w:hAnsi="Times New Roman" w:cs="Times New Roman"/>
      <w:kern w:val="0"/>
      <w14:ligatures w14:val="none"/>
    </w:rPr>
  </w:style>
  <w:style w:type="paragraph" w:customStyle="1" w:styleId="Pa14">
    <w:name w:val="Pa14"/>
    <w:basedOn w:val="Normal"/>
    <w:next w:val="Normal"/>
    <w:uiPriority w:val="99"/>
    <w:rsid w:val="00DC00A9"/>
    <w:pPr>
      <w:autoSpaceDE w:val="0"/>
      <w:autoSpaceDN w:val="0"/>
      <w:adjustRightInd w:val="0"/>
      <w:spacing w:after="0" w:line="221" w:lineRule="atLeast"/>
    </w:pPr>
    <w:rPr>
      <w:rFonts w:ascii="Cambria" w:hAnsi="Cambria"/>
      <w:kern w:val="0"/>
      <w:lang w:bidi="he-IL"/>
      <w14:ligatures w14:val="none"/>
    </w:rPr>
  </w:style>
  <w:style w:type="paragraph" w:customStyle="1" w:styleId="Pa17">
    <w:name w:val="Pa17"/>
    <w:basedOn w:val="Normal"/>
    <w:next w:val="Normal"/>
    <w:uiPriority w:val="99"/>
    <w:rsid w:val="00DC00A9"/>
    <w:pPr>
      <w:autoSpaceDE w:val="0"/>
      <w:autoSpaceDN w:val="0"/>
      <w:adjustRightInd w:val="0"/>
      <w:spacing w:after="0" w:line="201" w:lineRule="atLeast"/>
    </w:pPr>
    <w:rPr>
      <w:rFonts w:ascii="Cambria" w:hAnsi="Cambria"/>
      <w:kern w:val="0"/>
      <w:lang w:bidi="he-IL"/>
      <w14:ligatures w14:val="none"/>
    </w:rPr>
  </w:style>
  <w:style w:type="character" w:customStyle="1" w:styleId="A14">
    <w:name w:val="A14"/>
    <w:uiPriority w:val="99"/>
    <w:rsid w:val="00DC00A9"/>
    <w:rPr>
      <w:rFonts w:cs="Cambri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Jim Edelson</cp:lastModifiedBy>
  <cp:revision>10</cp:revision>
  <dcterms:created xsi:type="dcterms:W3CDTF">2024-11-15T00:25:00Z</dcterms:created>
  <dcterms:modified xsi:type="dcterms:W3CDTF">2024-11-15T00:29:00Z</dcterms:modified>
</cp:coreProperties>
</file>