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2840DDAA" w14:textId="77777777" w:rsidR="001E69B0" w:rsidRPr="00BB6DE8" w:rsidRDefault="001E69B0" w:rsidP="001E69B0">
      <w:pPr>
        <w:rPr>
          <w:rFonts w:ascii="Segoe UI" w:eastAsia="Segoe UI" w:hAnsi="Segoe UI" w:cs="Segoe UI"/>
          <w:color w:val="000000" w:themeColor="text1"/>
          <w:sz w:val="22"/>
          <w:szCs w:val="22"/>
        </w:rPr>
      </w:pPr>
      <w:r w:rsidRPr="00BB6DE8">
        <w:rPr>
          <w:rFonts w:ascii="Segoe UI" w:eastAsia="Segoe UI" w:hAnsi="Segoe UI" w:cs="Segoe UI"/>
          <w:color w:val="000000" w:themeColor="text1"/>
          <w:sz w:val="22"/>
          <w:szCs w:val="22"/>
        </w:rPr>
        <w:t xml:space="preserve">While we understand the content, BER believes that this exemption should not exist as ductwork can still be improperly installed in short runs as well as CFM/Watt still capable of being negatively impacted by ducts with too small diameter or a restrictive return-side. BER believes this section should be removed and Blower Fan watt draw should be tested to ensure there are no issues causing higher than designed blower watt draw. </w:t>
      </w:r>
    </w:p>
    <w:p w14:paraId="58F2615F" w14:textId="47000D8A" w:rsidR="0000630F" w:rsidRPr="0000630F" w:rsidRDefault="0000630F">
      <w:pPr>
        <w:rPr>
          <w:sz w:val="20"/>
          <w:szCs w:val="20"/>
        </w:rPr>
      </w:pP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65293F49" w14:textId="0EE463FF" w:rsidR="001E69B0" w:rsidRPr="0000630F" w:rsidRDefault="0000630F" w:rsidP="001E69B0">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r w:rsidR="001E69B0">
        <w:t xml:space="preserve"> </w:t>
      </w:r>
    </w:p>
    <w:p w14:paraId="7A6DCF13" w14:textId="77777777" w:rsidR="001E69B0" w:rsidRPr="006405C4" w:rsidRDefault="001E69B0" w:rsidP="001E69B0">
      <w:pPr>
        <w:pStyle w:val="ListParagraph"/>
        <w:widowControl w:val="0"/>
        <w:numPr>
          <w:ilvl w:val="2"/>
          <w:numId w:val="1"/>
        </w:numPr>
        <w:autoSpaceDE w:val="0"/>
        <w:autoSpaceDN w:val="0"/>
        <w:spacing w:before="120" w:after="0" w:line="240" w:lineRule="auto"/>
        <w:contextualSpacing w:val="0"/>
        <w:rPr>
          <w:strike/>
          <w:color w:val="FF0000"/>
          <w:u w:val="single"/>
        </w:rPr>
      </w:pPr>
      <w:bookmarkStart w:id="0" w:name="_Ref156313927"/>
      <w:r w:rsidRPr="006405C4">
        <w:rPr>
          <w:strike/>
          <w:color w:val="FF0000"/>
          <w:u w:val="single"/>
        </w:rPr>
        <w:t xml:space="preserve">If the Forced-Air HVAC System is entirely in Conditioned Space Volume </w:t>
      </w:r>
      <w:r w:rsidRPr="006405C4">
        <w:rPr>
          <w:rStyle w:val="FootnoteReference"/>
          <w:strike/>
          <w:color w:val="FF0000"/>
          <w:u w:val="single"/>
        </w:rPr>
        <w:footnoteReference w:id="1"/>
      </w:r>
      <w:r w:rsidRPr="006405C4">
        <w:rPr>
          <w:strike/>
          <w:color w:val="FF0000"/>
          <w:u w:val="single"/>
        </w:rPr>
        <w:t xml:space="preserve"> and has a supply-side distribution system with a total length that does not exceed 10 ft., inclusive of both ductwork and building cavities used for distribution, then measurement of the Blower Fan watt draw shall be exempted and the Blower Fan watt draw grade shall be designated in accordance with Section </w:t>
      </w:r>
      <w:r w:rsidRPr="006405C4">
        <w:rPr>
          <w:strike/>
          <w:color w:val="FF0000"/>
          <w:u w:val="single"/>
        </w:rPr>
        <w:fldChar w:fldCharType="begin"/>
      </w:r>
      <w:r w:rsidRPr="006405C4">
        <w:rPr>
          <w:strike/>
          <w:color w:val="FF0000"/>
          <w:u w:val="single"/>
        </w:rPr>
        <w:instrText xml:space="preserve"> REF _Ref156313869 \r \h  \* MERGEFORMAT </w:instrText>
      </w:r>
      <w:r w:rsidRPr="006405C4">
        <w:rPr>
          <w:strike/>
          <w:color w:val="FF0000"/>
          <w:u w:val="single"/>
        </w:rPr>
      </w:r>
      <w:r w:rsidRPr="006405C4">
        <w:rPr>
          <w:strike/>
          <w:color w:val="FF0000"/>
          <w:u w:val="single"/>
        </w:rPr>
        <w:fldChar w:fldCharType="separate"/>
      </w:r>
      <w:r w:rsidRPr="006405C4">
        <w:rPr>
          <w:strike/>
          <w:color w:val="FF0000"/>
          <w:u w:val="single"/>
        </w:rPr>
        <w:t>7.9</w:t>
      </w:r>
      <w:r w:rsidRPr="006405C4">
        <w:rPr>
          <w:strike/>
          <w:color w:val="FF0000"/>
          <w:u w:val="single"/>
        </w:rPr>
        <w:fldChar w:fldCharType="end"/>
      </w:r>
      <w:r w:rsidRPr="006405C4">
        <w:rPr>
          <w:strike/>
          <w:color w:val="FF0000"/>
          <w:u w:val="single"/>
        </w:rPr>
        <w:t>.</w:t>
      </w:r>
      <w:bookmarkEnd w:id="0"/>
    </w:p>
    <w:p w14:paraId="7DD8A835" w14:textId="61ADF9E5" w:rsidR="0000630F" w:rsidRPr="0000630F" w:rsidRDefault="0000630F"/>
    <w:sectPr w:rsidR="0000630F" w:rsidRPr="0000630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21001" w14:textId="77777777" w:rsidR="0051103B" w:rsidRDefault="0051103B" w:rsidP="00237923">
      <w:pPr>
        <w:spacing w:after="0" w:line="240" w:lineRule="auto"/>
      </w:pPr>
      <w:r>
        <w:separator/>
      </w:r>
    </w:p>
  </w:endnote>
  <w:endnote w:type="continuationSeparator" w:id="0">
    <w:p w14:paraId="16F9EE6F" w14:textId="77777777" w:rsidR="0051103B" w:rsidRDefault="0051103B"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96337" w14:textId="77777777" w:rsidR="0051103B" w:rsidRDefault="0051103B" w:rsidP="00237923">
      <w:pPr>
        <w:spacing w:after="0" w:line="240" w:lineRule="auto"/>
      </w:pPr>
      <w:r>
        <w:separator/>
      </w:r>
    </w:p>
  </w:footnote>
  <w:footnote w:type="continuationSeparator" w:id="0">
    <w:p w14:paraId="39C1CDCD" w14:textId="77777777" w:rsidR="0051103B" w:rsidRDefault="0051103B" w:rsidP="00237923">
      <w:pPr>
        <w:spacing w:after="0" w:line="240" w:lineRule="auto"/>
      </w:pPr>
      <w:r>
        <w:continuationSeparator/>
      </w:r>
    </w:p>
  </w:footnote>
  <w:footnote w:id="1">
    <w:p w14:paraId="6A58B8E8" w14:textId="77777777" w:rsidR="001E69B0" w:rsidRDefault="001E69B0" w:rsidP="001E69B0">
      <w:pPr>
        <w:pStyle w:val="FootnoteText"/>
        <w:rPr>
          <w:color w:val="FF0000"/>
          <w:u w:val="single"/>
        </w:rPr>
      </w:pPr>
      <w:r w:rsidRPr="00AA77C3">
        <w:rPr>
          <w:rStyle w:val="FootnoteReference"/>
          <w:rFonts w:eastAsiaTheme="majorEastAsia"/>
          <w:color w:val="FF0000"/>
          <w:u w:val="single"/>
        </w:rPr>
        <w:footnoteRef/>
      </w:r>
      <w:r w:rsidRPr="00AA77C3">
        <w:rPr>
          <w:color w:val="FF0000"/>
          <w:u w:val="single"/>
        </w:rPr>
        <w:t xml:space="preserve"> (Informative Note) Per the definition, an HVAC System comprises both the equipment and the distribution system, if any. Therefore, both must be in Conditioned Space Volume to meet this intent. A Single Packaged System </w:t>
      </w:r>
      <w:proofErr w:type="gramStart"/>
      <w:r w:rsidRPr="00AA77C3">
        <w:rPr>
          <w:color w:val="FF0000"/>
          <w:u w:val="single"/>
        </w:rPr>
        <w:t>is considered to be</w:t>
      </w:r>
      <w:proofErr w:type="gramEnd"/>
      <w:r w:rsidRPr="00AA77C3">
        <w:rPr>
          <w:color w:val="FF0000"/>
          <w:u w:val="single"/>
        </w:rPr>
        <w:t xml:space="preserve"> in Conditioned Space Volume if the interior side of the package and the distribution system, if any, is in Conditioned Space Volume.</w:t>
      </w:r>
    </w:p>
    <w:p w14:paraId="701F5572" w14:textId="7D1DD858" w:rsidR="001E69B0" w:rsidRPr="00617CB4" w:rsidRDefault="001E69B0" w:rsidP="001E69B0">
      <w:pPr>
        <w:pStyle w:val="FootnoteText"/>
        <w:rPr>
          <w:color w:val="FF0000"/>
          <w:u w:val="single"/>
        </w:rPr>
      </w:pPr>
      <w:r>
        <w:rPr>
          <w:color w:val="FF0000"/>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25838"/>
    <w:multiLevelType w:val="multilevel"/>
    <w:tmpl w:val="EBF494F2"/>
    <w:lvl w:ilvl="0">
      <w:start w:val="1"/>
      <w:numFmt w:val="decimal"/>
      <w:suff w:val="space"/>
      <w:lvlText w:val="%1."/>
      <w:lvlJc w:val="left"/>
      <w:pPr>
        <w:ind w:left="504" w:hanging="288"/>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suff w:val="space"/>
      <w:lvlText w:val="%1.%2."/>
      <w:lvlJc w:val="left"/>
      <w:pPr>
        <w:ind w:left="720" w:hanging="288"/>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suff w:val="space"/>
      <w:lvlText w:val="%1.%2.%3."/>
      <w:lvlJc w:val="left"/>
      <w:pPr>
        <w:ind w:left="936" w:hanging="288"/>
      </w:pPr>
      <w:rPr>
        <w:rFonts w:hint="default"/>
        <w:b/>
        <w:bCs w:val="0"/>
        <w:spacing w:val="0"/>
        <w:w w:val="100"/>
        <w:sz w:val="24"/>
        <w:szCs w:val="24"/>
        <w:lang w:val="en-US" w:eastAsia="en-US" w:bidi="ar-SA"/>
      </w:rPr>
    </w:lvl>
    <w:lvl w:ilvl="3">
      <w:start w:val="1"/>
      <w:numFmt w:val="decimal"/>
      <w:suff w:val="space"/>
      <w:lvlText w:val="%1.%2.%3.%4."/>
      <w:lvlJc w:val="left"/>
      <w:pPr>
        <w:ind w:left="1152" w:hanging="288"/>
      </w:pPr>
      <w:rPr>
        <w:rFonts w:hint="default"/>
        <w:spacing w:val="0"/>
        <w:w w:val="100"/>
        <w:lang w:val="en-US" w:eastAsia="en-US" w:bidi="ar-SA"/>
      </w:rPr>
    </w:lvl>
    <w:lvl w:ilvl="4">
      <w:start w:val="1"/>
      <w:numFmt w:val="decimal"/>
      <w:suff w:val="space"/>
      <w:lvlText w:val="%1.%2.%3.%4.%5."/>
      <w:lvlJc w:val="left"/>
      <w:pPr>
        <w:ind w:left="1368" w:hanging="288"/>
      </w:pPr>
      <w:rPr>
        <w:rFonts w:hint="default"/>
        <w:spacing w:val="0"/>
        <w:w w:val="100"/>
        <w:lang w:val="en-US" w:eastAsia="en-US" w:bidi="ar-SA"/>
      </w:rPr>
    </w:lvl>
    <w:lvl w:ilvl="5">
      <w:start w:val="2"/>
      <w:numFmt w:val="decimal"/>
      <w:suff w:val="space"/>
      <w:lvlText w:val="%1.%2.%3.%4.%5.%6."/>
      <w:lvlJc w:val="left"/>
      <w:pPr>
        <w:ind w:left="1584" w:hanging="288"/>
      </w:pPr>
      <w:rPr>
        <w:rFonts w:hint="default"/>
        <w:spacing w:val="0"/>
        <w:w w:val="100"/>
        <w:lang w:val="en-US" w:eastAsia="en-US" w:bidi="ar-SA"/>
      </w:rPr>
    </w:lvl>
    <w:lvl w:ilvl="6">
      <w:numFmt w:val="bullet"/>
      <w:lvlText w:val="•"/>
      <w:lvlJc w:val="left"/>
      <w:pPr>
        <w:ind w:left="1940" w:hanging="1268"/>
      </w:pPr>
      <w:rPr>
        <w:rFonts w:hint="default"/>
        <w:lang w:val="en-US" w:eastAsia="en-US" w:bidi="ar-SA"/>
      </w:rPr>
    </w:lvl>
    <w:lvl w:ilvl="7">
      <w:numFmt w:val="bullet"/>
      <w:lvlText w:val="•"/>
      <w:lvlJc w:val="left"/>
      <w:pPr>
        <w:ind w:left="2000" w:hanging="1268"/>
      </w:pPr>
      <w:rPr>
        <w:rFonts w:hint="default"/>
        <w:lang w:val="en-US" w:eastAsia="en-US" w:bidi="ar-SA"/>
      </w:rPr>
    </w:lvl>
    <w:lvl w:ilvl="8">
      <w:numFmt w:val="bullet"/>
      <w:lvlText w:val="•"/>
      <w:lvlJc w:val="left"/>
      <w:pPr>
        <w:ind w:left="2020" w:hanging="1268"/>
      </w:pPr>
      <w:rPr>
        <w:rFonts w:hint="default"/>
        <w:lang w:val="en-US" w:eastAsia="en-US" w:bidi="ar-SA"/>
      </w:rPr>
    </w:lvl>
  </w:abstractNum>
  <w:num w:numId="1" w16cid:durableId="1432235184">
    <w:abstractNumId w:val="0"/>
    <w:lvlOverride w:ilvl="0">
      <w:lvl w:ilvl="0">
        <w:start w:val="1"/>
        <w:numFmt w:val="decimal"/>
        <w:suff w:val="space"/>
        <w:lvlText w:val="%1."/>
        <w:lvlJc w:val="left"/>
        <w:pPr>
          <w:ind w:left="504" w:hanging="288"/>
        </w:pPr>
        <w:rPr>
          <w:rFonts w:ascii="Times New Roman" w:eastAsia="Times New Roman" w:hAnsi="Times New Roman" w:cs="Times New Roman" w:hint="default"/>
          <w:b/>
          <w:bCs/>
          <w:i w:val="0"/>
          <w:iCs w:val="0"/>
          <w:spacing w:val="0"/>
          <w:w w:val="100"/>
          <w:sz w:val="24"/>
          <w:szCs w:val="24"/>
        </w:rPr>
      </w:lvl>
    </w:lvlOverride>
    <w:lvlOverride w:ilvl="1">
      <w:lvl w:ilvl="1">
        <w:start w:val="1"/>
        <w:numFmt w:val="decimal"/>
        <w:suff w:val="space"/>
        <w:lvlText w:val="%1.%2."/>
        <w:lvlJc w:val="left"/>
        <w:pPr>
          <w:ind w:left="720" w:hanging="288"/>
        </w:pPr>
        <w:rPr>
          <w:rFonts w:ascii="Times New Roman" w:eastAsia="Times New Roman" w:hAnsi="Times New Roman" w:cs="Times New Roman" w:hint="default"/>
          <w:b/>
          <w:bCs/>
          <w:i w:val="0"/>
          <w:iCs w:val="0"/>
          <w:spacing w:val="0"/>
          <w:w w:val="100"/>
          <w:sz w:val="24"/>
          <w:szCs w:val="24"/>
        </w:rPr>
      </w:lvl>
    </w:lvlOverride>
    <w:lvlOverride w:ilvl="2">
      <w:lvl w:ilvl="2">
        <w:start w:val="1"/>
        <w:numFmt w:val="decimal"/>
        <w:suff w:val="space"/>
        <w:lvlText w:val="%1.%2.%3."/>
        <w:lvlJc w:val="left"/>
        <w:pPr>
          <w:ind w:left="936" w:hanging="288"/>
        </w:pPr>
        <w:rPr>
          <w:rFonts w:hint="default"/>
          <w:b/>
          <w:bCs w:val="0"/>
          <w:spacing w:val="0"/>
          <w:w w:val="100"/>
          <w:sz w:val="24"/>
          <w:szCs w:val="24"/>
        </w:rPr>
      </w:lvl>
    </w:lvlOverride>
    <w:lvlOverride w:ilvl="3">
      <w:lvl w:ilvl="3">
        <w:start w:val="1"/>
        <w:numFmt w:val="decimal"/>
        <w:suff w:val="space"/>
        <w:lvlText w:val="%1.%2.%3.%4."/>
        <w:lvlJc w:val="left"/>
        <w:pPr>
          <w:ind w:left="1152" w:hanging="288"/>
        </w:pPr>
        <w:rPr>
          <w:rFonts w:hint="default"/>
          <w:spacing w:val="0"/>
          <w:w w:val="100"/>
        </w:rPr>
      </w:lvl>
    </w:lvlOverride>
    <w:lvlOverride w:ilvl="4">
      <w:lvl w:ilvl="4">
        <w:start w:val="1"/>
        <w:numFmt w:val="decimal"/>
        <w:suff w:val="space"/>
        <w:lvlText w:val="%1.%2.%3.%4.%5."/>
        <w:lvlJc w:val="left"/>
        <w:pPr>
          <w:ind w:left="1368" w:hanging="288"/>
        </w:pPr>
        <w:rPr>
          <w:rFonts w:hint="default"/>
          <w:spacing w:val="0"/>
          <w:w w:val="100"/>
        </w:rPr>
      </w:lvl>
    </w:lvlOverride>
    <w:lvlOverride w:ilvl="5">
      <w:lvl w:ilvl="5">
        <w:start w:val="2"/>
        <w:numFmt w:val="decimal"/>
        <w:suff w:val="space"/>
        <w:lvlText w:val="%1.%2.%3.%4.%5.%6."/>
        <w:lvlJc w:val="left"/>
        <w:pPr>
          <w:ind w:left="1584" w:hanging="288"/>
        </w:pPr>
        <w:rPr>
          <w:rFonts w:hint="default"/>
          <w:spacing w:val="0"/>
          <w:w w:val="100"/>
        </w:rPr>
      </w:lvl>
    </w:lvlOverride>
    <w:lvlOverride w:ilvl="6">
      <w:lvl w:ilvl="6">
        <w:numFmt w:val="bullet"/>
        <w:lvlText w:val="•"/>
        <w:lvlJc w:val="left"/>
        <w:pPr>
          <w:ind w:left="1940" w:hanging="1268"/>
        </w:pPr>
        <w:rPr>
          <w:rFonts w:hint="default"/>
        </w:rPr>
      </w:lvl>
    </w:lvlOverride>
    <w:lvlOverride w:ilvl="7">
      <w:lvl w:ilvl="7">
        <w:numFmt w:val="bullet"/>
        <w:lvlText w:val="•"/>
        <w:lvlJc w:val="left"/>
        <w:pPr>
          <w:ind w:left="2000" w:hanging="1268"/>
        </w:pPr>
        <w:rPr>
          <w:rFonts w:hint="default"/>
        </w:rPr>
      </w:lvl>
    </w:lvlOverride>
    <w:lvlOverride w:ilvl="8">
      <w:lvl w:ilvl="8">
        <w:numFmt w:val="bullet"/>
        <w:lvlText w:val="•"/>
        <w:lvlJc w:val="left"/>
        <w:pPr>
          <w:ind w:left="2020" w:hanging="1268"/>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1E69B0"/>
    <w:rsid w:val="00237923"/>
    <w:rsid w:val="0051103B"/>
    <w:rsid w:val="00553D0D"/>
    <w:rsid w:val="005C1477"/>
    <w:rsid w:val="008C2F70"/>
    <w:rsid w:val="00A519E2"/>
    <w:rsid w:val="00AD2096"/>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FootnoteText">
    <w:name w:val="footnote text"/>
    <w:basedOn w:val="Normal"/>
    <w:link w:val="FootnoteTextChar"/>
    <w:uiPriority w:val="99"/>
    <w:semiHidden/>
    <w:unhideWhenUsed/>
    <w:rsid w:val="001E69B0"/>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1E69B0"/>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unhideWhenUsed/>
    <w:rsid w:val="001E69B0"/>
    <w:rPr>
      <w:vertAlign w:val="superscript"/>
    </w:rPr>
  </w:style>
  <w:style w:type="character" w:customStyle="1" w:styleId="ListParagraphChar">
    <w:name w:val="List Paragraph Char"/>
    <w:basedOn w:val="DefaultParagraphFont"/>
    <w:link w:val="ListParagraph"/>
    <w:uiPriority w:val="34"/>
    <w:rsid w:val="001E6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Zac Mullins</cp:lastModifiedBy>
  <cp:revision>2</cp:revision>
  <dcterms:created xsi:type="dcterms:W3CDTF">2024-10-14T20:49:00Z</dcterms:created>
  <dcterms:modified xsi:type="dcterms:W3CDTF">2024-10-14T20:49:00Z</dcterms:modified>
</cp:coreProperties>
</file>