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559A" w14:textId="3E13055F" w:rsidR="00C86821" w:rsidRPr="00E42A76" w:rsidRDefault="00C86821" w:rsidP="6E33FA66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6E33FA66">
        <w:rPr>
          <w:rStyle w:val="normaltextrun"/>
          <w:rFonts w:ascii="Calibri" w:eastAsiaTheme="majorEastAsia" w:hAnsi="Calibri" w:cs="Calibri"/>
          <w:b/>
          <w:bCs/>
        </w:rPr>
        <w:t xml:space="preserve">SDC 301 CALCULATIONS SC Call Draft </w:t>
      </w:r>
      <w:r w:rsidR="0BCFF530" w:rsidRPr="6E33FA66">
        <w:rPr>
          <w:rStyle w:val="normaltextrun"/>
          <w:rFonts w:ascii="Calibri" w:eastAsiaTheme="majorEastAsia" w:hAnsi="Calibri" w:cs="Calibri"/>
          <w:b/>
          <w:bCs/>
        </w:rPr>
        <w:t>Minutes</w:t>
      </w:r>
    </w:p>
    <w:p w14:paraId="06FDA487" w14:textId="7E46174E" w:rsidR="00C86821" w:rsidRDefault="2A79ACA1" w:rsidP="60D73F8F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1F686485">
        <w:rPr>
          <w:rStyle w:val="normaltextrun"/>
          <w:rFonts w:ascii="Calibri" w:eastAsiaTheme="majorEastAsia" w:hAnsi="Calibri" w:cs="Calibri"/>
        </w:rPr>
        <w:t xml:space="preserve">March </w:t>
      </w:r>
      <w:r w:rsidR="183ACAA8" w:rsidRPr="1F686485">
        <w:rPr>
          <w:rStyle w:val="normaltextrun"/>
          <w:rFonts w:ascii="Calibri" w:eastAsiaTheme="majorEastAsia" w:hAnsi="Calibri" w:cs="Calibri"/>
        </w:rPr>
        <w:t>3</w:t>
      </w:r>
      <w:r w:rsidR="183ACAA8" w:rsidRPr="1F686485">
        <w:rPr>
          <w:rStyle w:val="normaltextrun"/>
          <w:rFonts w:ascii="Calibri" w:eastAsiaTheme="majorEastAsia" w:hAnsi="Calibri" w:cs="Calibri"/>
          <w:vertAlign w:val="superscript"/>
        </w:rPr>
        <w:t>rd</w:t>
      </w:r>
      <w:r w:rsidR="00512E3C" w:rsidRPr="1F686485"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 w:rsidR="00512E3C" w:rsidRPr="1F686485">
        <w:rPr>
          <w:rStyle w:val="normaltextrun"/>
          <w:rFonts w:ascii="Calibri" w:eastAsiaTheme="majorEastAsia" w:hAnsi="Calibri" w:cs="Calibri"/>
        </w:rPr>
        <w:t>2025</w:t>
      </w:r>
      <w:proofErr w:type="gramEnd"/>
      <w:r w:rsidR="00C86821" w:rsidRPr="1F686485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38C731BC" w14:textId="1A7D6FE1" w:rsidR="00B05B82" w:rsidRPr="00E42A76" w:rsidRDefault="00B05B82" w:rsidP="00B05B82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hyperlink r:id="rId8" w:history="1">
        <w:r w:rsidRPr="00B05B82">
          <w:rPr>
            <w:rStyle w:val="Hyperlink"/>
            <w:rFonts w:ascii="Calibri" w:eastAsiaTheme="majorEastAsia" w:hAnsi="Calibri" w:cs="Calibri"/>
          </w:rPr>
          <w:t>MEETING RECORDING HERE</w:t>
        </w:r>
      </w:hyperlink>
      <w:r>
        <w:rPr>
          <w:rStyle w:val="normaltextrun"/>
          <w:rFonts w:ascii="Calibri" w:eastAsiaTheme="majorEastAsia" w:hAnsi="Calibri" w:cs="Calibri"/>
        </w:rPr>
        <w:br/>
      </w:r>
      <w:r w:rsidRPr="00B05B82">
        <w:rPr>
          <w:rStyle w:val="normaltextrun"/>
          <w:rFonts w:ascii="Calibri" w:eastAsiaTheme="majorEastAsia" w:hAnsi="Calibri" w:cs="Calibri"/>
        </w:rPr>
        <w:t>Passcode: *0pGrb#7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="00FB0170" w:rsidRPr="00641F74" w14:paraId="0798AF1B" w14:textId="77777777" w:rsidTr="006A1D63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CCA0415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0B5C9E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ECDBB6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5A571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FB0170" w:rsidRPr="00904ADC" w14:paraId="40696B44" w14:textId="77777777" w:rsidTr="006A1D63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7824420" w14:textId="759AC001" w:rsidR="00FB0170" w:rsidRPr="00BA6807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BA680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BC495E4" w14:textId="77777777" w:rsidR="00212FFE" w:rsidRPr="00EC06A9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Christensen</w:t>
            </w:r>
          </w:p>
          <w:p w14:paraId="1FB7443D" w14:textId="77777777" w:rsidR="00212FFE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47A7E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54C1AE07" w14:textId="77777777" w:rsidR="00212FFE" w:rsidRPr="00EC06A9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47A7E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253E2287" w14:textId="77777777" w:rsidR="00212FFE" w:rsidRPr="00EC06A9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Nick Sisler</w:t>
            </w:r>
          </w:p>
          <w:p w14:paraId="5BBF62AB" w14:textId="77777777" w:rsidR="00212FFE" w:rsidRPr="00EC06A9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58391ADA" w14:textId="77777777" w:rsidR="00212FFE" w:rsidRPr="00EC06A9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21C80A25" w14:textId="77777777" w:rsidR="00212FFE" w:rsidRPr="00EC06A9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Scott Horowitz</w:t>
            </w:r>
          </w:p>
          <w:p w14:paraId="368D15FB" w14:textId="1239E4F7" w:rsidR="00212FFE" w:rsidRPr="00BA6807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William Ranson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11805" w14:textId="4CC4D3C2" w:rsidR="00FB0170" w:rsidRPr="00BA6807" w:rsidRDefault="00FB017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BA680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9B963B8" w14:textId="66DB06E5" w:rsidR="00FB0170" w:rsidRPr="00BA6807" w:rsidRDefault="001A4E3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64679A8F" w14:textId="2C7377EA" w:rsidR="00FB0170" w:rsidRPr="00BA6807" w:rsidRDefault="00AA686D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Nick Sisler</w:t>
            </w:r>
          </w:p>
          <w:p w14:paraId="2BEA28C7" w14:textId="77777777" w:rsidR="00AA686D" w:rsidRPr="00BA6807" w:rsidRDefault="00AA686D" w:rsidP="00AA686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Christensen</w:t>
            </w:r>
          </w:p>
          <w:p w14:paraId="46A5F033" w14:textId="7F09C5D4" w:rsidR="00FB0170" w:rsidRDefault="00C126A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Scott Horowit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</w:t>
            </w:r>
          </w:p>
          <w:p w14:paraId="11E3FACD" w14:textId="2488AEFF" w:rsidR="00C126A8" w:rsidRPr="00C126A8" w:rsidRDefault="00C126A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William Ranson</w:t>
            </w:r>
          </w:p>
          <w:p w14:paraId="66FC9F9A" w14:textId="77777777" w:rsidR="00FB0170" w:rsidRPr="00BA6807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483D74D" w14:textId="18073D4A" w:rsidR="00FB0170" w:rsidRPr="00BA6807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165B7D" w14:textId="77777777" w:rsidR="00FB0170" w:rsidRPr="00BA6807" w:rsidRDefault="00FB0170" w:rsidP="00BE596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762AF1" w14:textId="77777777" w:rsidR="00212FFE" w:rsidRPr="00BA6807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6E94B4C6" w14:textId="448B157A" w:rsidR="00212FFE" w:rsidRPr="00BA6807" w:rsidRDefault="00212FFE" w:rsidP="00212FF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7088ED75" w14:textId="571E9093" w:rsidR="00FB0170" w:rsidRPr="00C126A8" w:rsidRDefault="00212FFE" w:rsidP="00C126A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133E73" w14:textId="77777777" w:rsidR="00FB0170" w:rsidRPr="00BA6807" w:rsidRDefault="00BA680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Gary Klein</w:t>
            </w:r>
          </w:p>
          <w:p w14:paraId="378E0865" w14:textId="77777777" w:rsidR="00BA6807" w:rsidRDefault="00BA680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A680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Laurel Elam</w:t>
            </w:r>
          </w:p>
          <w:p w14:paraId="0F0EBFD0" w14:textId="77777777" w:rsidR="00C126A8" w:rsidRDefault="00C126A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Rick Dixon</w:t>
            </w:r>
          </w:p>
          <w:p w14:paraId="500A90FF" w14:textId="25D850D7" w:rsidR="00C126A8" w:rsidRPr="00BA6807" w:rsidRDefault="00C126A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Kruis</w:t>
            </w:r>
            <w:proofErr w:type="spellEnd"/>
          </w:p>
        </w:tc>
      </w:tr>
    </w:tbl>
    <w:p w14:paraId="7B047F29" w14:textId="01E8CB51" w:rsidR="00214389" w:rsidRPr="00214389" w:rsidRDefault="00214389" w:rsidP="004558B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214389">
        <w:rPr>
          <w:rFonts w:ascii="Arial" w:eastAsia="Arial" w:hAnsi="Arial" w:cs="Arial"/>
          <w:color w:val="212121"/>
        </w:rPr>
        <w:t>Meet</w:t>
      </w:r>
      <w:r>
        <w:rPr>
          <w:rFonts w:ascii="Arial" w:eastAsia="Arial" w:hAnsi="Arial" w:cs="Arial"/>
          <w:color w:val="212121"/>
        </w:rPr>
        <w:t>ing called to order at 1:00 PM ET.</w:t>
      </w:r>
    </w:p>
    <w:p w14:paraId="3EA99AE4" w14:textId="1C4AC216" w:rsidR="006A1D63" w:rsidRDefault="006A1D63" w:rsidP="004558B9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Approve agend</w:t>
      </w:r>
      <w:r>
        <w:rPr>
          <w:rFonts w:ascii="Arial" w:eastAsia="Arial" w:hAnsi="Arial" w:cs="Arial"/>
          <w:b/>
          <w:bCs/>
          <w:color w:val="212121"/>
        </w:rPr>
        <w:t>a</w:t>
      </w:r>
    </w:p>
    <w:p w14:paraId="7E716628" w14:textId="08516AEE" w:rsidR="00C44CC1" w:rsidRDefault="00BA6807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BA6807">
        <w:rPr>
          <w:rFonts w:ascii="Arial" w:eastAsia="Arial" w:hAnsi="Arial" w:cs="Arial"/>
          <w:color w:val="212121"/>
        </w:rPr>
        <w:t>Brian</w:t>
      </w:r>
      <w:r>
        <w:rPr>
          <w:rFonts w:ascii="Arial" w:eastAsia="Arial" w:hAnsi="Arial" w:cs="Arial"/>
          <w:color w:val="212121"/>
        </w:rPr>
        <w:t xml:space="preserve"> Christensen made a motion to approve the agenda. Gary Klein seconded. The agenda was approved.</w:t>
      </w:r>
    </w:p>
    <w:p w14:paraId="6473B833" w14:textId="77777777" w:rsidR="004558B9" w:rsidRPr="008043B6" w:rsidRDefault="004558B9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</w:p>
    <w:p w14:paraId="0BA7F253" w14:textId="738C1E26" w:rsidR="006A1D63" w:rsidRDefault="004558B9" w:rsidP="004558B9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  <w:r>
        <w:rPr>
          <w:rFonts w:ascii="Arial" w:eastAsia="Arial" w:hAnsi="Arial" w:cs="Arial"/>
          <w:b/>
          <w:bCs/>
          <w:color w:val="212121"/>
        </w:rPr>
        <w:t>A</w:t>
      </w:r>
      <w:r w:rsidR="006A1D63" w:rsidRPr="008043B6">
        <w:rPr>
          <w:rFonts w:ascii="Arial" w:eastAsia="Arial" w:hAnsi="Arial" w:cs="Arial"/>
          <w:b/>
          <w:bCs/>
          <w:color w:val="212121"/>
        </w:rPr>
        <w:t>pprove 02/03/2024 meeting minutes (</w:t>
      </w:r>
      <w:hyperlink r:id="rId9" w:tooltip="https://urldefense.proofpoint.com/v2/url?u=https-3A__www.dropbox.com_scl_fi_tipzxm7h0wyrl6yqzsw41_SDC-2D301-2DCALCULATIONS-2DSC-2DCall-2DDraft-2DMeeting-2DMinutes-5F2-2D3-2D2025.docx-3Frlkey-3D456exgp6cls3ltjgloiejmmob-26e-3D2-26st-3Dbz82fak4-26dl-3D0&amp;d=DwMDaQ&amp;c=euGZstcaTDllvimEN8b7jXrwqOf-v5A_CdpgnVfiiMM&amp;r=7XUwxAZbmftOVV1BsRddTg&amp;m=Ckd9MlpOfNxlE31vcr3vjpx6YO91tY34IwGW-Ws2vZqJf6f23C_ZVRY_uaMMbmZV&amp;s=y0zDPUzlMNyztHqjTxt9aw27dCQ3l7x39_C6koQaJHM&amp;e=" w:history="1">
        <w:r w:rsidR="006A1D63" w:rsidRPr="008043B6">
          <w:rPr>
            <w:rStyle w:val="Hyperlink"/>
            <w:rFonts w:ascii="Arial" w:eastAsia="Arial" w:hAnsi="Arial" w:cs="Arial"/>
            <w:b/>
            <w:bCs/>
          </w:rPr>
          <w:t>here</w:t>
        </w:r>
      </w:hyperlink>
      <w:r w:rsidR="006A1D63" w:rsidRPr="008043B6">
        <w:rPr>
          <w:rFonts w:ascii="Arial" w:eastAsia="Arial" w:hAnsi="Arial" w:cs="Arial"/>
          <w:b/>
          <w:bCs/>
          <w:color w:val="212121"/>
        </w:rPr>
        <w:t>)</w:t>
      </w:r>
    </w:p>
    <w:p w14:paraId="3F8208C5" w14:textId="7AE1AD1F" w:rsidR="006A1D63" w:rsidRDefault="0094791A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BA6807">
        <w:rPr>
          <w:rFonts w:ascii="Arial" w:eastAsia="Arial" w:hAnsi="Arial" w:cs="Arial"/>
          <w:color w:val="212121"/>
        </w:rPr>
        <w:t>Brian</w:t>
      </w:r>
      <w:r>
        <w:rPr>
          <w:rFonts w:ascii="Arial" w:eastAsia="Arial" w:hAnsi="Arial" w:cs="Arial"/>
          <w:color w:val="212121"/>
        </w:rPr>
        <w:t xml:space="preserve"> made a motion to approve the </w:t>
      </w:r>
      <w:r>
        <w:rPr>
          <w:rFonts w:ascii="Arial" w:eastAsia="Arial" w:hAnsi="Arial" w:cs="Arial"/>
          <w:color w:val="212121"/>
        </w:rPr>
        <w:t>minutes</w:t>
      </w:r>
      <w:r>
        <w:rPr>
          <w:rFonts w:ascii="Arial" w:eastAsia="Arial" w:hAnsi="Arial" w:cs="Arial"/>
          <w:color w:val="212121"/>
        </w:rPr>
        <w:t xml:space="preserve">. </w:t>
      </w:r>
      <w:r w:rsidR="00C126A8">
        <w:rPr>
          <w:rFonts w:ascii="Arial" w:eastAsia="Arial" w:hAnsi="Arial" w:cs="Arial"/>
          <w:color w:val="212121"/>
        </w:rPr>
        <w:t>Gary</w:t>
      </w:r>
      <w:r>
        <w:rPr>
          <w:rFonts w:ascii="Arial" w:eastAsia="Arial" w:hAnsi="Arial" w:cs="Arial"/>
          <w:color w:val="212121"/>
        </w:rPr>
        <w:t xml:space="preserve"> seconded. The agenda was approved.</w:t>
      </w:r>
    </w:p>
    <w:p w14:paraId="59EF92ED" w14:textId="27EB0959" w:rsidR="00C44CC1" w:rsidRDefault="00C350EB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Rick clarified that </w:t>
      </w:r>
      <w:r w:rsidR="00B104F0">
        <w:rPr>
          <w:rFonts w:ascii="Arial" w:eastAsia="Arial" w:hAnsi="Arial" w:cs="Arial"/>
          <w:color w:val="212121"/>
        </w:rPr>
        <w:t xml:space="preserve">non-appointed members </w:t>
      </w:r>
      <w:proofErr w:type="gramStart"/>
      <w:r w:rsidR="00B104F0">
        <w:rPr>
          <w:rFonts w:ascii="Arial" w:eastAsia="Arial" w:hAnsi="Arial" w:cs="Arial"/>
          <w:color w:val="212121"/>
        </w:rPr>
        <w:t>can</w:t>
      </w:r>
      <w:proofErr w:type="gramEnd"/>
      <w:r w:rsidR="00B104F0">
        <w:rPr>
          <w:rFonts w:ascii="Arial" w:eastAsia="Arial" w:hAnsi="Arial" w:cs="Arial"/>
          <w:color w:val="212121"/>
        </w:rPr>
        <w:t xml:space="preserve"> </w:t>
      </w:r>
      <w:r w:rsidR="00E069EC">
        <w:rPr>
          <w:rFonts w:ascii="Arial" w:eastAsia="Arial" w:hAnsi="Arial" w:cs="Arial"/>
          <w:color w:val="212121"/>
        </w:rPr>
        <w:t>motion and/or second motions for</w:t>
      </w:r>
      <w:r w:rsidR="00B104F0">
        <w:rPr>
          <w:rFonts w:ascii="Arial" w:eastAsia="Arial" w:hAnsi="Arial" w:cs="Arial"/>
          <w:color w:val="212121"/>
        </w:rPr>
        <w:t xml:space="preserve"> subcommittees.</w:t>
      </w:r>
    </w:p>
    <w:p w14:paraId="6570E982" w14:textId="77777777" w:rsidR="005D6DA5" w:rsidRPr="008043B6" w:rsidRDefault="005D6DA5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</w:p>
    <w:p w14:paraId="4508174B" w14:textId="77777777" w:rsidR="006A1D63" w:rsidRDefault="006A1D63" w:rsidP="004558B9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Status update on Standard and Addenda timing (Rick)</w:t>
      </w:r>
    </w:p>
    <w:p w14:paraId="25C97353" w14:textId="41827E27" w:rsidR="00644224" w:rsidRDefault="00E069EC" w:rsidP="001E46E9">
      <w:pP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For </w:t>
      </w:r>
      <w:r w:rsidRPr="00E069EC">
        <w:rPr>
          <w:rFonts w:ascii="Arial" w:eastAsia="Arial" w:hAnsi="Arial" w:cs="Arial"/>
          <w:color w:val="212121"/>
        </w:rPr>
        <w:t>301-2025</w:t>
      </w:r>
      <w:r>
        <w:rPr>
          <w:rFonts w:ascii="Arial" w:eastAsia="Arial" w:hAnsi="Arial" w:cs="Arial"/>
          <w:color w:val="212121"/>
        </w:rPr>
        <w:t>, the SDC</w:t>
      </w:r>
      <w:r w:rsidR="00966825">
        <w:rPr>
          <w:rFonts w:ascii="Arial" w:eastAsia="Arial" w:hAnsi="Arial" w:cs="Arial"/>
          <w:color w:val="212121"/>
        </w:rPr>
        <w:t xml:space="preserve"> has</w:t>
      </w:r>
      <w:r>
        <w:rPr>
          <w:rFonts w:ascii="Arial" w:eastAsia="Arial" w:hAnsi="Arial" w:cs="Arial"/>
          <w:color w:val="212121"/>
        </w:rPr>
        <w:t xml:space="preserve"> voted on a draft. An item was identified by Gayathri </w:t>
      </w:r>
      <w:r w:rsidR="00966825">
        <w:rPr>
          <w:rFonts w:ascii="Arial" w:eastAsia="Arial" w:hAnsi="Arial" w:cs="Arial"/>
          <w:color w:val="212121"/>
        </w:rPr>
        <w:t xml:space="preserve">regarding </w:t>
      </w:r>
      <w:r w:rsidR="00B14DE7">
        <w:rPr>
          <w:rFonts w:ascii="Arial" w:eastAsia="Arial" w:hAnsi="Arial" w:cs="Arial"/>
          <w:color w:val="212121"/>
        </w:rPr>
        <w:t xml:space="preserve">the </w:t>
      </w:r>
      <w:r>
        <w:rPr>
          <w:rFonts w:ascii="Arial" w:eastAsia="Arial" w:hAnsi="Arial" w:cs="Arial"/>
          <w:color w:val="212121"/>
        </w:rPr>
        <w:t xml:space="preserve">use of multifamily </w:t>
      </w:r>
      <w:r w:rsidR="00B14DE7">
        <w:rPr>
          <w:rFonts w:ascii="Arial" w:eastAsia="Arial" w:hAnsi="Arial" w:cs="Arial"/>
          <w:color w:val="212121"/>
        </w:rPr>
        <w:t xml:space="preserve">residential energy </w:t>
      </w:r>
      <w:proofErr w:type="spellStart"/>
      <w:r w:rsidR="00B14DE7">
        <w:rPr>
          <w:rFonts w:ascii="Arial" w:eastAsia="Arial" w:hAnsi="Arial" w:cs="Arial"/>
          <w:color w:val="212121"/>
        </w:rPr>
        <w:t xml:space="preserve">codes </w:t>
      </w:r>
      <w:proofErr w:type="spellEnd"/>
      <w:r>
        <w:rPr>
          <w:rFonts w:ascii="Arial" w:eastAsia="Arial" w:hAnsi="Arial" w:cs="Arial"/>
          <w:color w:val="212121"/>
        </w:rPr>
        <w:t xml:space="preserve">where a different approach </w:t>
      </w:r>
      <w:r w:rsidR="00B14DE7">
        <w:rPr>
          <w:rFonts w:ascii="Arial" w:eastAsia="Arial" w:hAnsi="Arial" w:cs="Arial"/>
          <w:color w:val="212121"/>
        </w:rPr>
        <w:t>should be used. This edit will be included as part of</w:t>
      </w:r>
      <w:r>
        <w:rPr>
          <w:rFonts w:ascii="Arial" w:eastAsia="Arial" w:hAnsi="Arial" w:cs="Arial"/>
          <w:color w:val="212121"/>
        </w:rPr>
        <w:t xml:space="preserve"> PDS-02.</w:t>
      </w:r>
    </w:p>
    <w:p w14:paraId="61EE3DCD" w14:textId="77777777" w:rsidR="00E069EC" w:rsidRDefault="00E069EC" w:rsidP="001E46E9">
      <w:pPr>
        <w:rPr>
          <w:rFonts w:ascii="Arial" w:eastAsia="Arial" w:hAnsi="Arial" w:cs="Arial"/>
          <w:color w:val="212121"/>
        </w:rPr>
      </w:pPr>
    </w:p>
    <w:p w14:paraId="5B2B80E4" w14:textId="77777777" w:rsidR="00E069EC" w:rsidRDefault="00E069EC" w:rsidP="001E46E9">
      <w:pP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>301-2025 and 380-2025 have been approved by ANSI.</w:t>
      </w:r>
    </w:p>
    <w:p w14:paraId="137F1170" w14:textId="77777777" w:rsidR="00966825" w:rsidRDefault="00966825" w:rsidP="001E46E9">
      <w:pPr>
        <w:rPr>
          <w:rFonts w:ascii="Arial" w:eastAsia="Arial" w:hAnsi="Arial" w:cs="Arial"/>
          <w:color w:val="212121"/>
        </w:rPr>
      </w:pPr>
    </w:p>
    <w:p w14:paraId="14F16678" w14:textId="56EB9C46" w:rsidR="00E069EC" w:rsidRDefault="00E069EC" w:rsidP="001E46E9">
      <w:pP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Addendum 81 </w:t>
      </w:r>
      <w:r w:rsidR="00966825">
        <w:rPr>
          <w:rFonts w:ascii="Arial" w:eastAsia="Arial" w:hAnsi="Arial" w:cs="Arial"/>
          <w:color w:val="212121"/>
        </w:rPr>
        <w:t>is a supplement to Addendum 76. This is currently out for public comment.</w:t>
      </w:r>
    </w:p>
    <w:p w14:paraId="1C37A2EB" w14:textId="540B6E7A" w:rsidR="005D6DA5" w:rsidRDefault="00BE49BE" w:rsidP="004558B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BE49BE">
        <w:rPr>
          <w:rFonts w:ascii="Arial" w:eastAsia="Arial" w:hAnsi="Arial" w:cs="Arial"/>
          <w:color w:val="212121"/>
        </w:rPr>
        <w:lastRenderedPageBreak/>
        <w:t>Addendum</w:t>
      </w:r>
      <w:r>
        <w:rPr>
          <w:rFonts w:ascii="Arial" w:eastAsia="Arial" w:hAnsi="Arial" w:cs="Arial"/>
          <w:color w:val="212121"/>
        </w:rPr>
        <w:t xml:space="preserve"> 85, which covers garages used as sales offices, will go out for public comment soon.</w:t>
      </w:r>
    </w:p>
    <w:p w14:paraId="1333535B" w14:textId="77777777" w:rsidR="005D6DA5" w:rsidRDefault="005D6DA5" w:rsidP="004558B9">
      <w:pPr>
        <w:pStyle w:val="paragraph"/>
        <w:textAlignment w:val="baseline"/>
        <w:rPr>
          <w:rFonts w:ascii="Arial" w:eastAsia="Arial" w:hAnsi="Arial" w:cs="Arial"/>
          <w:color w:val="212121"/>
        </w:rPr>
      </w:pPr>
    </w:p>
    <w:p w14:paraId="62727A7A" w14:textId="3BA23E72" w:rsidR="006A1D63" w:rsidRPr="00BE49BE" w:rsidRDefault="006A1D63" w:rsidP="004558B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Discussion on status of Addendum 83f (Rick)</w:t>
      </w:r>
    </w:p>
    <w:p w14:paraId="0E7936B2" w14:textId="77F9218C" w:rsidR="00BE49BE" w:rsidRPr="00BE49BE" w:rsidRDefault="00D82ACD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>Addenda I is in place and will stay in effect until the final version is completed. The 301-2022 Addendum D Task Group is also addressing this issue.</w:t>
      </w:r>
    </w:p>
    <w:p w14:paraId="1798E424" w14:textId="77777777" w:rsidR="00C44CC1" w:rsidRPr="008043B6" w:rsidRDefault="00C44CC1" w:rsidP="00C44CC1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</w:p>
    <w:p w14:paraId="266FC35C" w14:textId="1CDED904" w:rsidR="006A1D63" w:rsidRDefault="006A1D63" w:rsidP="00F16E69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Additional discussion on Addendum 77 (Philip &amp; Rick - files attached)</w:t>
      </w:r>
    </w:p>
    <w:p w14:paraId="02D61DFA" w14:textId="282A0760" w:rsidR="00F16E69" w:rsidRDefault="00400924" w:rsidP="00F16E6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>There is c</w:t>
      </w:r>
      <w:r w:rsidRPr="00400924">
        <w:rPr>
          <w:rFonts w:ascii="Arial" w:eastAsia="Arial" w:hAnsi="Arial" w:cs="Arial"/>
          <w:color w:val="212121"/>
        </w:rPr>
        <w:t>oncern</w:t>
      </w:r>
      <w:r>
        <w:rPr>
          <w:rFonts w:ascii="Arial" w:eastAsia="Arial" w:hAnsi="Arial" w:cs="Arial"/>
          <w:color w:val="212121"/>
        </w:rPr>
        <w:t xml:space="preserve"> that the analysis needs to be more in-depth for </w:t>
      </w:r>
      <w:proofErr w:type="spellStart"/>
      <w:r>
        <w:rPr>
          <w:rFonts w:ascii="Arial" w:eastAsia="Arial" w:hAnsi="Arial" w:cs="Arial"/>
          <w:color w:val="212121"/>
        </w:rPr>
        <w:t>iHPWH</w:t>
      </w:r>
      <w:proofErr w:type="spellEnd"/>
      <w:r>
        <w:rPr>
          <w:rFonts w:ascii="Arial" w:eastAsia="Arial" w:hAnsi="Arial" w:cs="Arial"/>
          <w:color w:val="212121"/>
        </w:rPr>
        <w:t>.</w:t>
      </w:r>
      <w:r w:rsidR="00AF4D40">
        <w:rPr>
          <w:rFonts w:ascii="Arial" w:eastAsia="Arial" w:hAnsi="Arial" w:cs="Arial"/>
          <w:color w:val="212121"/>
        </w:rPr>
        <w:t xml:space="preserve"> More work will be required to complete these changes in the future. The goal is to get something in place by July 1</w:t>
      </w:r>
      <w:r w:rsidR="00AF4D40" w:rsidRPr="00AF4D40">
        <w:rPr>
          <w:rFonts w:ascii="Arial" w:eastAsia="Arial" w:hAnsi="Arial" w:cs="Arial"/>
          <w:color w:val="212121"/>
          <w:vertAlign w:val="superscript"/>
        </w:rPr>
        <w:t>st</w:t>
      </w:r>
      <w:r w:rsidR="00AF4D40">
        <w:rPr>
          <w:rFonts w:ascii="Arial" w:eastAsia="Arial" w:hAnsi="Arial" w:cs="Arial"/>
          <w:color w:val="212121"/>
        </w:rPr>
        <w:t xml:space="preserve"> to align with changes from 301-2019 and 301-2022.</w:t>
      </w:r>
    </w:p>
    <w:p w14:paraId="79C39C84" w14:textId="2165F220" w:rsidR="00626EA6" w:rsidRDefault="00AA6709" w:rsidP="00F16E6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The objective of this addendum is to define Hybrid </w:t>
      </w:r>
      <w:proofErr w:type="spellStart"/>
      <w:r w:rsidR="00292865">
        <w:rPr>
          <w:rFonts w:ascii="Arial" w:eastAsia="Arial" w:hAnsi="Arial" w:cs="Arial"/>
          <w:color w:val="212121"/>
        </w:rPr>
        <w:t>iHPWH</w:t>
      </w:r>
      <w:proofErr w:type="spellEnd"/>
      <w:r>
        <w:rPr>
          <w:rFonts w:ascii="Arial" w:eastAsia="Arial" w:hAnsi="Arial" w:cs="Arial"/>
          <w:color w:val="212121"/>
        </w:rPr>
        <w:t>.</w:t>
      </w:r>
      <w:r w:rsidR="00626EA6">
        <w:rPr>
          <w:rFonts w:ascii="Arial" w:eastAsia="Arial" w:hAnsi="Arial" w:cs="Arial"/>
          <w:color w:val="212121"/>
        </w:rPr>
        <w:t xml:space="preserve"> Brian noted that this may cause issues for HPWHs that are not hybrid and stated the original objective was to address </w:t>
      </w:r>
      <w:proofErr w:type="gramStart"/>
      <w:r w:rsidR="00626EA6">
        <w:rPr>
          <w:rFonts w:ascii="Arial" w:eastAsia="Arial" w:hAnsi="Arial" w:cs="Arial"/>
          <w:color w:val="212121"/>
        </w:rPr>
        <w:t>HPWHs as a whole</w:t>
      </w:r>
      <w:proofErr w:type="gramEnd"/>
      <w:r w:rsidR="00626EA6">
        <w:rPr>
          <w:rFonts w:ascii="Arial" w:eastAsia="Arial" w:hAnsi="Arial" w:cs="Arial"/>
          <w:color w:val="212121"/>
        </w:rPr>
        <w:t>.</w:t>
      </w:r>
      <w:r w:rsidR="00626EA6">
        <w:rPr>
          <w:rFonts w:ascii="Arial" w:eastAsia="Arial" w:hAnsi="Arial" w:cs="Arial"/>
          <w:color w:val="212121"/>
        </w:rPr>
        <w:br/>
        <w:t xml:space="preserve">Philip said the group </w:t>
      </w:r>
      <w:r w:rsidR="001E0F5E">
        <w:rPr>
          <w:rFonts w:ascii="Arial" w:eastAsia="Arial" w:hAnsi="Arial" w:cs="Arial"/>
          <w:color w:val="212121"/>
        </w:rPr>
        <w:t xml:space="preserve">previously agreed to address only hybrid HPWHs because they would not allow any water heaters that did not meet the </w:t>
      </w:r>
      <w:r w:rsidR="00292865">
        <w:rPr>
          <w:rFonts w:ascii="Arial" w:eastAsia="Arial" w:hAnsi="Arial" w:cs="Arial"/>
          <w:color w:val="212121"/>
        </w:rPr>
        <w:t>water heating demand lows.</w:t>
      </w:r>
      <w:r w:rsidR="00292865">
        <w:rPr>
          <w:rFonts w:ascii="Arial" w:eastAsia="Arial" w:hAnsi="Arial" w:cs="Arial"/>
          <w:color w:val="212121"/>
        </w:rPr>
        <w:br/>
        <w:t xml:space="preserve">Brian said if a home has an </w:t>
      </w:r>
      <w:proofErr w:type="spellStart"/>
      <w:r w:rsidR="00292865">
        <w:rPr>
          <w:rFonts w:ascii="Arial" w:eastAsia="Arial" w:hAnsi="Arial" w:cs="Arial"/>
          <w:color w:val="212121"/>
        </w:rPr>
        <w:t>iHPWH</w:t>
      </w:r>
      <w:proofErr w:type="spellEnd"/>
      <w:r w:rsidR="00292865">
        <w:rPr>
          <w:rFonts w:ascii="Arial" w:eastAsia="Arial" w:hAnsi="Arial" w:cs="Arial"/>
          <w:color w:val="212121"/>
        </w:rPr>
        <w:t xml:space="preserve"> that is not hybrid, the Rating process needs to be able to properly handle such. </w:t>
      </w:r>
      <w:r w:rsidR="00391BEF">
        <w:rPr>
          <w:rFonts w:ascii="Arial" w:eastAsia="Arial" w:hAnsi="Arial" w:cs="Arial"/>
          <w:color w:val="212121"/>
        </w:rPr>
        <w:t>Brian suggested not narrowing the focus to address hybrid only.</w:t>
      </w:r>
      <w:r w:rsidR="00870E7A">
        <w:rPr>
          <w:rFonts w:ascii="Arial" w:eastAsia="Arial" w:hAnsi="Arial" w:cs="Arial"/>
          <w:color w:val="212121"/>
        </w:rPr>
        <w:br/>
      </w:r>
      <w:r w:rsidR="009B6455">
        <w:rPr>
          <w:rFonts w:ascii="Arial" w:eastAsia="Arial" w:hAnsi="Arial" w:cs="Arial"/>
          <w:color w:val="212121"/>
        </w:rPr>
        <w:t xml:space="preserve">Gary </w:t>
      </w:r>
      <w:r w:rsidR="00164D0F">
        <w:rPr>
          <w:rFonts w:ascii="Arial" w:eastAsia="Arial" w:hAnsi="Arial" w:cs="Arial"/>
          <w:color w:val="212121"/>
        </w:rPr>
        <w:t xml:space="preserve">agreed that any </w:t>
      </w:r>
      <w:proofErr w:type="spellStart"/>
      <w:r w:rsidR="00164D0F">
        <w:rPr>
          <w:rFonts w:ascii="Arial" w:eastAsia="Arial" w:hAnsi="Arial" w:cs="Arial"/>
          <w:color w:val="212121"/>
        </w:rPr>
        <w:t>iHPWH</w:t>
      </w:r>
      <w:proofErr w:type="spellEnd"/>
      <w:r w:rsidR="00164D0F">
        <w:rPr>
          <w:rFonts w:ascii="Arial" w:eastAsia="Arial" w:hAnsi="Arial" w:cs="Arial"/>
          <w:color w:val="212121"/>
        </w:rPr>
        <w:t xml:space="preserve"> should be Rated the same.</w:t>
      </w:r>
    </w:p>
    <w:p w14:paraId="15E20A4E" w14:textId="105EC0A2" w:rsidR="00DC65FE" w:rsidRDefault="00DC65FE" w:rsidP="00F16E6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The phrase </w:t>
      </w:r>
      <w:r>
        <w:rPr>
          <w:rFonts w:ascii="Arial" w:eastAsia="Arial" w:hAnsi="Arial" w:cs="Arial"/>
          <w:i/>
          <w:iCs/>
          <w:color w:val="212121"/>
        </w:rPr>
        <w:t>usually above the storage tank</w:t>
      </w:r>
      <w:r>
        <w:rPr>
          <w:rFonts w:ascii="Arial" w:eastAsia="Arial" w:hAnsi="Arial" w:cs="Arial"/>
          <w:color w:val="212121"/>
        </w:rPr>
        <w:t xml:space="preserve"> was struck from the definition of </w:t>
      </w:r>
      <w:proofErr w:type="spellStart"/>
      <w:r>
        <w:rPr>
          <w:rFonts w:ascii="Arial" w:eastAsia="Arial" w:hAnsi="Arial" w:cs="Arial"/>
          <w:color w:val="212121"/>
        </w:rPr>
        <w:t>iHPW</w:t>
      </w:r>
      <w:r w:rsidR="007D1013">
        <w:rPr>
          <w:rFonts w:ascii="Arial" w:eastAsia="Arial" w:hAnsi="Arial" w:cs="Arial"/>
          <w:color w:val="212121"/>
        </w:rPr>
        <w:t>H</w:t>
      </w:r>
      <w:proofErr w:type="spellEnd"/>
      <w:r w:rsidR="007D1013">
        <w:rPr>
          <w:rFonts w:ascii="Arial" w:eastAsia="Arial" w:hAnsi="Arial" w:cs="Arial"/>
          <w:color w:val="212121"/>
        </w:rPr>
        <w:t>.</w:t>
      </w:r>
    </w:p>
    <w:p w14:paraId="40AEE664" w14:textId="2DD36C14" w:rsidR="005D0ECE" w:rsidRDefault="007052A2" w:rsidP="00F16E6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>There was discussion on the inclusion of COP=1 for Service Hot Water System simulations</w:t>
      </w:r>
      <w:r w:rsidR="005D0ECE">
        <w:rPr>
          <w:rFonts w:ascii="Arial" w:eastAsia="Arial" w:hAnsi="Arial" w:cs="Arial"/>
          <w:color w:val="212121"/>
        </w:rPr>
        <w:t xml:space="preserve"> in Table 4.2.2(1)</w:t>
      </w:r>
      <w:r>
        <w:rPr>
          <w:rFonts w:ascii="Arial" w:eastAsia="Arial" w:hAnsi="Arial" w:cs="Arial"/>
          <w:color w:val="212121"/>
        </w:rPr>
        <w:t xml:space="preserve">. </w:t>
      </w:r>
      <w:r w:rsidR="005D0ECE">
        <w:rPr>
          <w:rFonts w:ascii="Arial" w:eastAsia="Arial" w:hAnsi="Arial" w:cs="Arial"/>
          <w:color w:val="212121"/>
        </w:rPr>
        <w:t xml:space="preserve">The first sentence in </w:t>
      </w:r>
      <w:r w:rsidR="0078083D">
        <w:rPr>
          <w:rFonts w:ascii="Arial" w:eastAsia="Arial" w:hAnsi="Arial" w:cs="Arial"/>
          <w:color w:val="212121"/>
        </w:rPr>
        <w:t>v.1</w:t>
      </w:r>
      <w:r w:rsidR="005D0ECE">
        <w:rPr>
          <w:rFonts w:ascii="Arial" w:eastAsia="Arial" w:hAnsi="Arial" w:cs="Arial"/>
          <w:color w:val="212121"/>
        </w:rPr>
        <w:t xml:space="preserve"> will be struck and it will be possible to have a water heater that does not meet the low.</w:t>
      </w:r>
      <w:r w:rsidR="0078083D">
        <w:rPr>
          <w:rFonts w:ascii="Arial" w:eastAsia="Arial" w:hAnsi="Arial" w:cs="Arial"/>
          <w:color w:val="212121"/>
        </w:rPr>
        <w:br/>
      </w:r>
      <w:r w:rsidR="0078083D">
        <w:rPr>
          <w:rFonts w:ascii="Arial" w:eastAsia="Arial" w:hAnsi="Arial" w:cs="Arial"/>
          <w:i/>
          <w:iCs/>
          <w:color w:val="212121"/>
        </w:rPr>
        <w:t>For air-source</w:t>
      </w:r>
      <w:r w:rsidR="0078083D">
        <w:rPr>
          <w:rFonts w:ascii="Arial" w:eastAsia="Arial" w:hAnsi="Arial" w:cs="Arial"/>
          <w:color w:val="212121"/>
        </w:rPr>
        <w:t xml:space="preserve"> was added in v.2.</w:t>
      </w:r>
      <w:r w:rsidR="00B848A7">
        <w:rPr>
          <w:rFonts w:ascii="Arial" w:eastAsia="Arial" w:hAnsi="Arial" w:cs="Arial"/>
          <w:color w:val="212121"/>
        </w:rPr>
        <w:br/>
      </w:r>
      <w:r w:rsidR="00B848A7">
        <w:rPr>
          <w:rFonts w:ascii="Arial" w:eastAsia="Arial" w:hAnsi="Arial" w:cs="Arial"/>
          <w:i/>
          <w:iCs/>
          <w:color w:val="212121"/>
        </w:rPr>
        <w:t>Additionally</w:t>
      </w:r>
      <w:r w:rsidR="00B848A7">
        <w:rPr>
          <w:rFonts w:ascii="Arial" w:eastAsia="Arial" w:hAnsi="Arial" w:cs="Arial"/>
          <w:color w:val="212121"/>
        </w:rPr>
        <w:t xml:space="preserve"> was struck and replaced with </w:t>
      </w:r>
      <w:r w:rsidR="00B848A7">
        <w:rPr>
          <w:rFonts w:ascii="Arial" w:eastAsia="Arial" w:hAnsi="Arial" w:cs="Arial"/>
          <w:i/>
          <w:iCs/>
          <w:color w:val="212121"/>
        </w:rPr>
        <w:t>If necessary</w:t>
      </w:r>
      <w:r w:rsidR="00B848A7">
        <w:rPr>
          <w:rFonts w:ascii="Arial" w:eastAsia="Arial" w:hAnsi="Arial" w:cs="Arial"/>
          <w:color w:val="212121"/>
        </w:rPr>
        <w:t>.</w:t>
      </w:r>
      <w:r w:rsidR="000B580E">
        <w:rPr>
          <w:rFonts w:ascii="Arial" w:eastAsia="Arial" w:hAnsi="Arial" w:cs="Arial"/>
          <w:color w:val="212121"/>
        </w:rPr>
        <w:br/>
        <w:t>The reference to tank UA was moved to the end of v.2.</w:t>
      </w:r>
    </w:p>
    <w:p w14:paraId="237C91B1" w14:textId="3DBE3C7C" w:rsidR="00EE13A2" w:rsidRPr="00165E80" w:rsidRDefault="00165E80" w:rsidP="00F16E6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The word </w:t>
      </w:r>
      <w:r>
        <w:rPr>
          <w:rFonts w:ascii="Arial" w:eastAsia="Arial" w:hAnsi="Arial" w:cs="Arial"/>
          <w:i/>
          <w:iCs/>
          <w:color w:val="212121"/>
        </w:rPr>
        <w:t>Hybrid</w:t>
      </w:r>
      <w:r>
        <w:rPr>
          <w:rFonts w:ascii="Arial" w:eastAsia="Arial" w:hAnsi="Arial" w:cs="Arial"/>
          <w:color w:val="212121"/>
        </w:rPr>
        <w:t xml:space="preserve"> was struck from the definition of </w:t>
      </w:r>
      <w:proofErr w:type="spellStart"/>
      <w:proofErr w:type="gramStart"/>
      <w:r>
        <w:rPr>
          <w:rFonts w:ascii="Arial" w:eastAsia="Arial" w:hAnsi="Arial" w:cs="Arial"/>
          <w:color w:val="212121"/>
        </w:rPr>
        <w:t>iHPWH</w:t>
      </w:r>
      <w:proofErr w:type="spellEnd"/>
      <w:proofErr w:type="gramEnd"/>
      <w:r w:rsidR="009915A7">
        <w:rPr>
          <w:rFonts w:ascii="Arial" w:eastAsia="Arial" w:hAnsi="Arial" w:cs="Arial"/>
          <w:color w:val="212121"/>
        </w:rPr>
        <w:t xml:space="preserve"> and the definition was updated</w:t>
      </w:r>
      <w:r>
        <w:rPr>
          <w:rFonts w:ascii="Arial" w:eastAsia="Arial" w:hAnsi="Arial" w:cs="Arial"/>
          <w:color w:val="212121"/>
        </w:rPr>
        <w:t>.</w:t>
      </w:r>
    </w:p>
    <w:p w14:paraId="3E498B3F" w14:textId="77777777" w:rsidR="006A1D63" w:rsidRPr="008043B6" w:rsidRDefault="006A1D63" w:rsidP="00C44CC1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</w:p>
    <w:p w14:paraId="6B22B1E6" w14:textId="77777777" w:rsidR="006A1D63" w:rsidRDefault="006A1D63" w:rsidP="004558B9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Discussion on PDS-02 of Addendum 82 (Neal - file attached)</w:t>
      </w:r>
    </w:p>
    <w:p w14:paraId="11ED1936" w14:textId="3483B1EE" w:rsidR="006A1D63" w:rsidRPr="005B72A4" w:rsidRDefault="005B72A4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5B72A4">
        <w:rPr>
          <w:rFonts w:ascii="Arial" w:eastAsia="Arial" w:hAnsi="Arial" w:cs="Arial"/>
          <w:color w:val="212121"/>
        </w:rPr>
        <w:t>N/A</w:t>
      </w:r>
    </w:p>
    <w:p w14:paraId="6540117B" w14:textId="77777777" w:rsidR="00F16E69" w:rsidRPr="008043B6" w:rsidRDefault="00F16E69" w:rsidP="00C44CC1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</w:p>
    <w:p w14:paraId="2D0FBCBE" w14:textId="77777777" w:rsidR="006A1D63" w:rsidRDefault="006A1D63" w:rsidP="004558B9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Re-approval of 301-2019 IRs for 301-2022 (see list below)</w:t>
      </w:r>
    </w:p>
    <w:p w14:paraId="57761727" w14:textId="154336D2" w:rsidR="006A1D63" w:rsidRDefault="00D770D9" w:rsidP="00D770D9">
      <w:pPr>
        <w:rPr>
          <w:rFonts w:ascii="Arial" w:eastAsia="Arial" w:hAnsi="Arial" w:cs="Arial"/>
          <w:color w:val="212121"/>
        </w:rPr>
      </w:pPr>
      <w:r w:rsidRPr="00D770D9">
        <w:rPr>
          <w:rFonts w:ascii="Arial" w:eastAsia="Arial" w:hAnsi="Arial" w:cs="Arial"/>
          <w:color w:val="212121"/>
        </w:rPr>
        <w:t>From</w:t>
      </w:r>
      <w:r>
        <w:rPr>
          <w:rFonts w:ascii="Arial" w:eastAsia="Arial" w:hAnsi="Arial" w:cs="Arial"/>
          <w:color w:val="212121"/>
        </w:rPr>
        <w:t xml:space="preserve"> Philip Fairey</w:t>
      </w:r>
      <w:r w:rsidR="00EB5560">
        <w:rPr>
          <w:rFonts w:ascii="Arial" w:eastAsia="Arial" w:hAnsi="Arial" w:cs="Arial"/>
          <w:color w:val="212121"/>
        </w:rPr>
        <w:t xml:space="preserve"> via email</w:t>
      </w:r>
      <w:r>
        <w:rPr>
          <w:rFonts w:ascii="Arial" w:eastAsia="Arial" w:hAnsi="Arial" w:cs="Arial"/>
          <w:color w:val="212121"/>
        </w:rPr>
        <w:t>:</w:t>
      </w:r>
    </w:p>
    <w:p w14:paraId="47324129" w14:textId="77777777" w:rsidR="00D770D9" w:rsidRPr="00D770D9" w:rsidRDefault="00D770D9" w:rsidP="00D770D9">
      <w:pPr>
        <w:rPr>
          <w:rFonts w:ascii="Arial" w:eastAsia="Arial" w:hAnsi="Arial" w:cs="Arial"/>
          <w:i/>
          <w:iCs/>
          <w:color w:val="212121"/>
        </w:rPr>
      </w:pPr>
      <w:r w:rsidRPr="00D770D9">
        <w:rPr>
          <w:rFonts w:ascii="Arial" w:eastAsia="Arial" w:hAnsi="Arial" w:cs="Arial"/>
          <w:i/>
          <w:iCs/>
          <w:color w:val="212121"/>
        </w:rPr>
        <w:t>There needs to be a determination as to whether the IRs that were approved for 301-2019 were incorporated into 301-2022 or whether they need to be re-approved for 301-2022.</w:t>
      </w:r>
      <w:r w:rsidRPr="00D770D9">
        <w:rPr>
          <w:rFonts w:ascii="Arial" w:eastAsia="Arial" w:hAnsi="Arial" w:cs="Arial"/>
          <w:i/>
          <w:iCs/>
          <w:color w:val="212121"/>
        </w:rPr>
        <w:br/>
      </w:r>
    </w:p>
    <w:p w14:paraId="6DFA9583" w14:textId="77777777" w:rsidR="00D770D9" w:rsidRPr="00D770D9" w:rsidRDefault="00D770D9" w:rsidP="00D770D9">
      <w:pPr>
        <w:rPr>
          <w:rFonts w:ascii="Arial" w:eastAsia="Arial" w:hAnsi="Arial" w:cs="Arial"/>
          <w:i/>
          <w:iCs/>
          <w:color w:val="212121"/>
        </w:rPr>
      </w:pPr>
      <w:r w:rsidRPr="00D770D9">
        <w:rPr>
          <w:rFonts w:ascii="Arial" w:eastAsia="Arial" w:hAnsi="Arial" w:cs="Arial"/>
          <w:i/>
          <w:iCs/>
          <w:color w:val="212121"/>
        </w:rPr>
        <w:t>Standard ANSI/RESNET/ICC 301-2019</w:t>
      </w:r>
    </w:p>
    <w:p w14:paraId="4146C32B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0" w:tgtFrame="_blank" w:tooltip="https://urldefense.proofpoint.com/v2/url?u=https-3A__www.resnet.us_wp-2Dcontent_uploads_IR-2D301-2D2019-2D001-2DFanEnergyUnmeasuredMechVentilation-5Ffinal.pdf&amp;d=DwMDaQ&amp;c=euGZstcaTDllvimEN8b7jXrwqOf-v5A_CdpgnVfiiMM&amp;r=7XUwxAZbmftOVV1BsRddTg&amp;m=Ckd9MlpOfNxlE31vcr3vjpx6YO91tY34IwGW-Ws2vZqJf6f23C_ZVRY_uaMMbmZV&amp;s=RZC_gHtyDIhOXxtF1Win6U1chyum2N8j-pVdGd9O1qU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301-2019-001 Fan Energy for Unmeasured Mechanical Ventilation</w:t>
        </w:r>
      </w:hyperlink>
    </w:p>
    <w:p w14:paraId="52BA16C5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1" w:tgtFrame="_blank" w:tooltip="https://urldefense.proofpoint.com/v2/url?u=https-3A__www.resnet.us_wp-2Dcontent_uploads_IR-2D301-2D2019-2D002-2DVentilation-2DRuntime-2Dand-2DControls-5F6moTP-2D1.pdf&amp;d=DwMDaQ&amp;c=euGZstcaTDllvimEN8b7jXrwqOf-v5A_CdpgnVfiiMM&amp;r=7XUwxAZbmftOVV1BsRddTg&amp;m=Ckd9MlpOfNxlE31vcr3vjpx6YO91tY34IwGW-Ws2vZqJf6f23C_ZVRY_uaMMbmZV&amp;s=tqSlPKIpskkp_4E_vuwG3OC4GoKEpGF_r0hwDE1qcY0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301-2019-002 Ventilation Run Time</w:t>
        </w:r>
      </w:hyperlink>
    </w:p>
    <w:p w14:paraId="48086EB7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2" w:tgtFrame="_blank" w:tooltip="https://urldefense.proofpoint.com/v2/url?u=https-3A__www.resnet.us_wp-2Dcontent_uploads_IR-2D301-2D2019-2D003-5FTotal-2DDuct-2DLeakage-2DResults.pdf&amp;d=DwMDaQ&amp;c=euGZstcaTDllvimEN8b7jXrwqOf-v5A_CdpgnVfiiMM&amp;r=7XUwxAZbmftOVV1BsRddTg&amp;m=Ckd9MlpOfNxlE31vcr3vjpx6YO91tY34IwGW-Ws2vZqJf6f23C_ZVRY_uaMMbmZV&amp;s=q4b5oExcIPoF0ooPZExO7BQu7--YIbvEyYmSWOMrbVw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301-2019-003 Total Duct Leakage Used as Duct Leakage to Outside</w:t>
        </w:r>
      </w:hyperlink>
    </w:p>
    <w:p w14:paraId="068C3295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3" w:tooltip="https://urldefense.proofpoint.com/v2/url?u=https-3A__www.resnet.us_wp-2Dcontent_uploads_IR301-2D2019-2D004-5FFibrousInsulationOnConditionedBasementCrawlspace-5Fwebpost.pdf&amp;d=DwMDaQ&amp;c=euGZstcaTDllvimEN8b7jXrwqOf-v5A_CdpgnVfiiMM&amp;r=7XUwxAZbmftOVV1BsRddTg&amp;m=Ckd9MlpOfNxlE31vcr3vjpx6YO91tY34IwGW-Ws2vZqJf6f23C_ZVRY_uaMMbmZV&amp;s=7dxXtR3mezkvBtdgHIk277fR_b6vOV4Ps8DSm8QH0Ac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301-2019-004 Fibrous Insulation Installed on Conditioned Basement and Crawlspace</w:t>
        </w:r>
      </w:hyperlink>
    </w:p>
    <w:p w14:paraId="4B7D3846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4" w:tooltip="https://urldefense.proofpoint.com/v2/url?u=https-3A__www.resnet.us_wp-2Dcontent_uploads_IR-2D301-2D2019-2D006-5FOpenCellFoamThickness-5Fwebpost.pdf&amp;d=DwMDaQ&amp;c=euGZstcaTDllvimEN8b7jXrwqOf-v5A_CdpgnVfiiMM&amp;r=7XUwxAZbmftOVV1BsRddTg&amp;m=Ckd9MlpOfNxlE31vcr3vjpx6YO91tY34IwGW-Ws2vZqJf6f23C_ZVRY_uaMMbmZV&amp;s=ctPh6B5gGot7POAq1jq5wGYkVNv3CynrDTs2wxjiH3I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301-2019-006 Open Cell Foam Thickness</w:t>
        </w:r>
      </w:hyperlink>
    </w:p>
    <w:p w14:paraId="1DE4AD79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5" w:tooltip="https://urldefense.proofpoint.com/v2/url?u=https-3A__www.resnet.us_wp-2Dcontent_uploads_IR301-2D2019-2D007-5FRadiantBarrierGradingClarification-5Fwebpost.pdf&amp;d=DwMDaQ&amp;c=euGZstcaTDllvimEN8b7jXrwqOf-v5A_CdpgnVfiiMM&amp;r=7XUwxAZbmftOVV1BsRddTg&amp;m=Ckd9MlpOfNxlE31vcr3vjpx6YO91tY34IwGW-Ws2vZqJf6f23C_ZVRY_uaMMbmZV&amp;s=pffUy5SffO-LCDf09ueVETFLiD456zrE5llJMyrsiJk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301-2019-007 Radiant Barrier Grading Requirements – Clarification</w:t>
        </w:r>
      </w:hyperlink>
    </w:p>
    <w:p w14:paraId="68DFBED7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6" w:tooltip="https://urldefense.proofpoint.com/v2/url?u=https-3A__www.resnet.us_wp-2Dcontent_uploads_IR301-2D2019-2D008-5FRadiantBarrierGradingRoof-5Fwebpost.pdf&amp;d=DwMDaQ&amp;c=euGZstcaTDllvimEN8b7jXrwqOf-v5A_CdpgnVfiiMM&amp;r=7XUwxAZbmftOVV1BsRddTg&amp;m=Ckd9MlpOfNxlE31vcr3vjpx6YO91tY34IwGW-Ws2vZqJf6f23C_ZVRY_uaMMbmZV&amp;s=hgbfHYi8DZ3XU3XgbNwx_pjRmfkMGK_af4UaywRMQhI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301-2019-008 Radiant Barrier Grading Requirements – Roof</w:t>
        </w:r>
      </w:hyperlink>
    </w:p>
    <w:p w14:paraId="6AA92DAC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7" w:tooltip="https://urldefense.proofpoint.com/v2/url?u=https-3A__www.resnet.us_wp-2Dcontent_uploads_IR301-2D2019-2D009Dwelling-2DUnitMechVentSysFanWatts-5FSDC-5Fvf.docx&amp;d=DwMDaQ&amp;c=euGZstcaTDllvimEN8b7jXrwqOf-v5A_CdpgnVfiiMM&amp;r=7XUwxAZbmftOVV1BsRddTg&amp;m=Ckd9MlpOfNxlE31vcr3vjpx6YO91tY34IwGW-Ws2vZqJf6f23C_ZVRY_uaMMbmZV&amp;s=x7avh8hqF1aFfjIFj3oPnxiuquKWPdXdRrVfVEcnVzo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301-2019-009 Dwelling-Unit Mechanical Ventilation System fan watts</w:t>
        </w:r>
      </w:hyperlink>
    </w:p>
    <w:p w14:paraId="774A0B14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8" w:tooltip="https://urldefense.proofpoint.com/v2/url?u=https-3A__www.resnet.us_wp-2Dcontent_uploads_IR-2D301-2D2019-2D010Floor-2DRim-2DBand-2DUnconditioned-2DSpace-2DAir-2DBarrier-5Fwebpost.pdf&amp;d=DwMDaQ&amp;c=euGZstcaTDllvimEN8b7jXrwqOf-v5A_CdpgnVfiiMM&amp;r=7XUwxAZbmftOVV1BsRddTg&amp;m=Ckd9MlpOfNxlE31vcr3vjpx6YO91tY34IwGW-Ws2vZqJf6f23C_ZVRY_uaMMbmZV&amp;s=jKMWVo68HvI0Y37D0hnoaVO7d9H9NBFAKuX5gg6S3kI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301-2019-010 Air Barrier Requirements for Floor/Rim/Band in Unconditioned, Unvented Space</w:t>
        </w:r>
      </w:hyperlink>
    </w:p>
    <w:p w14:paraId="6E97F82C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19" w:tooltip="https://urldefense.proofpoint.com/v2/url?u=https-3A__www.resnet.us_wp-2Dcontent_uploads_IR-2D301-2D2019-2D011-5FGrdngInstallModelingCompresd-2DR-2DValue-5Fwebpost.pdf&amp;d=DwMDaQ&amp;c=euGZstcaTDllvimEN8b7jXrwqOf-v5A_CdpgnVfiiMM&amp;r=7XUwxAZbmftOVV1BsRddTg&amp;m=Ckd9MlpOfNxlE31vcr3vjpx6YO91tY34IwGW-Ws2vZqJf6f23C_ZVRY_uaMMbmZV&amp;s=CqttrAUbni_56ctxtyKVxYiMLW2TZbZLdOieKRBhxQU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301-2019-011 Grading Installation and Modeling compressed R-Values</w:t>
        </w:r>
      </w:hyperlink>
    </w:p>
    <w:p w14:paraId="57189E34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0" w:tgtFrame="_blank" w:tooltip="https://urldefense.proofpoint.com/v2/url?u=https-3A__www.resnet.us_wp-2Dcontent_uploads_IR-2D301-2D2019-2D013-5FPurchasedEnergy-5Fwebpost.docx&amp;d=DwMDaQ&amp;c=euGZstcaTDllvimEN8b7jXrwqOf-v5A_CdpgnVfiiMM&amp;r=7XUwxAZbmftOVV1BsRddTg&amp;m=Ckd9MlpOfNxlE31vcr3vjpx6YO91tY34IwGW-Ws2vZqJf6f23C_ZVRY_uaMMbmZV&amp;s=SKhW44eHy60k30vmG8lkjhQOhA2R0GZzI654kl-UfDA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301-2019-013 Energy purchased from a Power Purchase Agreement (PPA)</w:t>
        </w:r>
      </w:hyperlink>
    </w:p>
    <w:p w14:paraId="667A1238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1" w:tgtFrame="_blank" w:tooltip="https://urldefense.proofpoint.com/v2/url?u=https-3A__www.resnet.us_wp-2Dcontent_uploads_IR-2D301-2D2019-2D012-5Fvf-2D1.docx&amp;d=DwMDaQ&amp;c=euGZstcaTDllvimEN8b7jXrwqOf-v5A_CdpgnVfiiMM&amp;r=7XUwxAZbmftOVV1BsRddTg&amp;m=Ckd9MlpOfNxlE31vcr3vjpx6YO91tY34IwGW-Ws2vZqJf6f23C_ZVRY_uaMMbmZV&amp;s=a4xoLjVNAHYGge6da3wx1RB0WePmQqqB74b2IUx8R4U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301-2019-012 Wall Insulation Requirements for Cantilever Floor with Conditioned End</w:t>
        </w:r>
      </w:hyperlink>
    </w:p>
    <w:p w14:paraId="7419ECAC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2" w:tooltip="https://urldefense.proofpoint.com/v2/url?u=https-3A__www.resnet.us_wp-2Dcontent_uploads_IR-2D301-2D2019-2D014-5FPercentageAreaRequired-2DVisualInsulationVerification-5Fwebpost.pdf&amp;d=DwMDaQ&amp;c=euGZstcaTDllvimEN8b7jXrwqOf-v5A_CdpgnVfiiMM&amp;r=7XUwxAZbmftOVV1BsRddTg&amp;m=Ckd9MlpOfNxlE31vcr3vjpx6YO91tY34IwGW-Ws2vZqJf6f23C_ZVRY_uaMMbmZV&amp;s=J000js0LMDyMdEnB3BSaVtVooib2lTmksETHXXJwqQs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301-2019-014 Percentage of Area Required for Visual Insulation Verification</w:t>
        </w:r>
      </w:hyperlink>
    </w:p>
    <w:p w14:paraId="219965C4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3" w:tooltip="https://urldefense.proofpoint.com/v2/url?u=https-3A__www.resnet.us_wp-2Dcontent_uploads_IR-2D301-2D2019-2D015-5FDoorAreaCalculationProcedure-5Fwebpost.pdf&amp;d=DwMDaQ&amp;c=euGZstcaTDllvimEN8b7jXrwqOf-v5A_CdpgnVfiiMM&amp;r=7XUwxAZbmftOVV1BsRddTg&amp;m=Ckd9MlpOfNxlE31vcr3vjpx6YO91tY34IwGW-Ws2vZqJf6f23C_ZVRY_uaMMbmZV&amp;s=QgSdZBLGJqLflK0sqVktscC0gRywFYw-kaRzagj17nk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301-2019-015 Procedure to Calculate the Area of a Door</w:t>
        </w:r>
      </w:hyperlink>
    </w:p>
    <w:p w14:paraId="14E1DD9B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4" w:tgtFrame="_blank" w:tooltip="https://urldefense.proofpoint.com/v2/url?u=https-3A__www.resnet.us_wp-2Dcontent_uploads_IR-2D301-2D2019-2D016-5FAttribution-2Dof-2DHot-2DWater-2Dloads-5Fv.f.docx&amp;d=DwMDaQ&amp;c=euGZstcaTDllvimEN8b7jXrwqOf-v5A_CdpgnVfiiMM&amp;r=7XUwxAZbmftOVV1BsRddTg&amp;m=Ckd9MlpOfNxlE31vcr3vjpx6YO91tY34IwGW-Ws2vZqJf6f23C_ZVRY_uaMMbmZV&amp;s=b8UEcyKrcfwP9RsBatL7vGHxLYYCKKsJ8QIyGkfSFwY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301-2019-016 Attribution of Hot Water Loads Where Multiple Water Heaters are Present</w:t>
        </w:r>
      </w:hyperlink>
    </w:p>
    <w:p w14:paraId="37FF4F23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5" w:tgtFrame="_blank" w:tooltip="https://urldefense.proofpoint.com/v2/url?u=https-3A__www.resnet.us_wp-2Dcontent_uploads_IR301-2D2019-2D017-5FVntltnSysControls-5Fwebpost.docx&amp;d=DwMDaQ&amp;c=euGZstcaTDllvimEN8b7jXrwqOf-v5A_CdpgnVfiiMM&amp;r=7XUwxAZbmftOVV1BsRddTg&amp;m=Ckd9MlpOfNxlE31vcr3vjpx6YO91tY34IwGW-Ws2vZqJf6f23C_ZVRY_uaMMbmZV&amp;s=oJoAqiJMhZ5ZPxEAwDEty1OtwLMAfmiRS-_YEAsETo4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301-2019-017 Dwelling Unit Mechanical Ventilation System Controls</w:t>
        </w:r>
      </w:hyperlink>
    </w:p>
    <w:p w14:paraId="588BC4A9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6" w:tgtFrame="_blank" w:tooltip="https://urldefense.proofpoint.com/v2/url?u=https-3A__www.resnet.us_wp-2Dcontent_uploads_IR301-2D2019-2D018KitchenFaucet-5Fweb.docx&amp;d=DwMDaQ&amp;c=euGZstcaTDllvimEN8b7jXrwqOf-v5A_CdpgnVfiiMM&amp;r=7XUwxAZbmftOVV1BsRddTg&amp;m=Ckd9MlpOfNxlE31vcr3vjpx6YO91tY34IwGW-Ws2vZqJf6f23C_ZVRY_uaMMbmZV&amp;s=1z_oZnmO7IOsGTn00Pho9RIiTwkgDESLKokNOucPQkA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301-2019-018 Kitchen Faucet inclusion in Water Efficient Faucets</w:t>
        </w:r>
      </w:hyperlink>
    </w:p>
    <w:p w14:paraId="05046429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7" w:tgtFrame="_blank" w:tooltip="https://urldefense.proofpoint.com/v2/url?u=https-3A__www.resnet.us_wp-2Dcontent_uploads_IR-5F301-2D2019-2D019-5FAirtightnessTestRqmnt-5Fwebpost.docx&amp;d=DwMDaQ&amp;c=euGZstcaTDllvimEN8b7jXrwqOf-v5A_CdpgnVfiiMM&amp;r=7XUwxAZbmftOVV1BsRddTg&amp;m=Ckd9MlpOfNxlE31vcr3vjpx6YO91tY34IwGW-Ws2vZqJf6f23C_ZVRY_uaMMbmZV&amp;s=52_z4ywyO8RgKfzfJ5gw132w5_Uck5wqXw40FDxwhv0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301-2019-019 Air Tightness Test Requirement</w:t>
        </w:r>
      </w:hyperlink>
    </w:p>
    <w:p w14:paraId="1483276E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8" w:tgtFrame="_blank" w:tooltip="https://urldefense.proofpoint.com/v2/url?u=https-3A__www.resnet.us_wp-2Dcontent_uploads_IR301-2D2019-2D020-5FShrdVntltnSysTstng-5Fwebpost.docx&amp;d=DwMDaQ&amp;c=euGZstcaTDllvimEN8b7jXrwqOf-v5A_CdpgnVfiiMM&amp;r=7XUwxAZbmftOVV1BsRddTg&amp;m=Ckd9MlpOfNxlE31vcr3vjpx6YO91tY34IwGW-Ws2vZqJf6f23C_ZVRY_uaMMbmZV&amp;s=VIMzcO9w7AYqVtMjukdWpwsH_U0Qa0gAt7bgU_1Zp54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301-2019-020 Duct Testing for Shared Pre-conditioning Ventilation Systems</w:t>
        </w:r>
      </w:hyperlink>
    </w:p>
    <w:p w14:paraId="068C52B9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29" w:tgtFrame="_blank" w:tooltip="https://urldefense.proofpoint.com/v2/url?u=https-3A__www.resnet.us_wp-2Dcontent_uploads_IR-5F301-2D2019-2D021-5FInsulCmprsnGrdng-5Fvfinal1.13.21-5Fwebpost.docx&amp;d=DwMDaQ&amp;c=euGZstcaTDllvimEN8b7jXrwqOf-v5A_CdpgnVfiiMM&amp;r=7XUwxAZbmftOVV1BsRddTg&amp;m=Ckd9MlpOfNxlE31vcr3vjpx6YO91tY34IwGW-Ws2vZqJf6f23C_ZVRY_uaMMbmZV&amp;s=lbgJiM1K2e1TOPC6ObP8LhFZJH0h8xER4tpYEZV24Ig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301-2019-021 Effect of Compression in Insulation Grading</w:t>
        </w:r>
      </w:hyperlink>
    </w:p>
    <w:p w14:paraId="504E39AE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0" w:tgtFrame="_blank" w:tooltip="https://urldefense.proofpoint.com/v2/url?u=https-3A__www.resnet.us_wp-2Dcontent_uploads_IR301-2D2019-2D022-5Fwebpost.pdf&amp;d=DwMDaQ&amp;c=euGZstcaTDllvimEN8b7jXrwqOf-v5A_CdpgnVfiiMM&amp;r=7XUwxAZbmftOVV1BsRddTg&amp;m=Ckd9MlpOfNxlE31vcr3vjpx6YO91tY34IwGW-Ws2vZqJf6f23C_ZVRY_uaMMbmZV&amp;s=y-UFlvyksRAUzNu-4bJi1iAZpjNntxJSm9T54JWuMnQ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301-2019-022 Duct Testing for Dedicated Pre-conditioning Ventilation Systems</w:t>
        </w:r>
      </w:hyperlink>
    </w:p>
    <w:p w14:paraId="6407A412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1" w:tgtFrame="_blank" w:tooltip="https://urldefense.proofpoint.com/v2/url?u=https-3A__www.resnet.us_wp-2Dcontent_uploads_IR301-2D2019-2D023-5FFloorCavityInsulFillForGradeI-5Fwebpost.pdf&amp;d=DwMDaQ&amp;c=euGZstcaTDllvimEN8b7jXrwqOf-v5A_CdpgnVfiiMM&amp;r=7XUwxAZbmftOVV1BsRddTg&amp;m=Ckd9MlpOfNxlE31vcr3vjpx6YO91tY34IwGW-Ws2vZqJf6f23C_ZVRY_uaMMbmZV&amp;s=fwIaLKIc6aAQJBB181KXLZvCLuwE5aG8Rn79wwm8x2E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301-2019-023 Insulation Is Not Required to Fill Floor Cavity to Achieve Grade I</w:t>
        </w:r>
      </w:hyperlink>
    </w:p>
    <w:p w14:paraId="142E3AE8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2" w:tgtFrame="_blank" w:tooltip="https://urldefense.proofpoint.com/v2/url?u=https-3A__www.resnet.us_wp-2Dcontent_uploads_IR301-2D2019-2D024Natatorium-5FCSV-2DCFA-5Fwebpost-2D1.pdf&amp;d=DwMDaQ&amp;c=euGZstcaTDllvimEN8b7jXrwqOf-v5A_CdpgnVfiiMM&amp;r=7XUwxAZbmftOVV1BsRddTg&amp;m=Ckd9MlpOfNxlE31vcr3vjpx6YO91tY34IwGW-Ws2vZqJf6f23C_ZVRY_uaMMbmZV&amp;s=mx3XkTOoTGG8qocKu_HzENB_7zoGPXO5yRtvYFvRbZg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No, 301-2019-024 Natatorium Rooms CSV and CFA</w:t>
        </w:r>
      </w:hyperlink>
    </w:p>
    <w:p w14:paraId="4C968D21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3" w:tgtFrame="_blank" w:tooltip="https://urldefense.proofpoint.com/v2/url?u=https-3A__www.resnet.us_wp-2Dcontent_uploads_IR301-2D2019-2D025MixMatchACEquipEfficiency-5Fwebpost-2D1.pdf&amp;d=DwMDaQ&amp;c=euGZstcaTDllvimEN8b7jXrwqOf-v5A_CdpgnVfiiMM&amp;r=7XUwxAZbmftOVV1BsRddTg&amp;m=Ckd9MlpOfNxlE31vcr3vjpx6YO91tY34IwGW-Ws2vZqJf6f23C_ZVRY_uaMMbmZV&amp;s=dMgsWlqpCyIe-ix3m3xMtp5A3PDwWgL8abWak1o9ugM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301-2019-025 Efficiency Ratings for Mix-Matched AC Units</w:t>
        </w:r>
      </w:hyperlink>
    </w:p>
    <w:p w14:paraId="46B10354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4" w:tgtFrame="_blank" w:tooltip="https://urldefense.proofpoint.com/v2/url?u=https-3A__www.resnet.us_wp-2Dcontent_uploads_IR-2D301-2D2019-2D026-2DModelingHomesWithoutBuilderSpecifiedAppliances-5Fwebpost-2D1.pdf&amp;d=DwMDaQ&amp;c=euGZstcaTDllvimEN8b7jXrwqOf-v5A_CdpgnVfiiMM&amp;r=7XUwxAZbmftOVV1BsRddTg&amp;m=Ckd9MlpOfNxlE31vcr3vjpx6YO91tY34IwGW-Ws2vZqJf6f23C_ZVRY_uaMMbmZV&amp;s=zGP75TYFS6KkoZmgDJx0SRy_Di1At0jigFV2CVIJRTI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301-2019-026 Modeling Homes Without Builder Specified Appliances Installed</w:t>
        </w:r>
      </w:hyperlink>
    </w:p>
    <w:p w14:paraId="0FD98D47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5" w:tgtFrame="_blank" w:tooltip="https://urldefense.proofpoint.com/v2/url?u=https-3A__www.resnet.us_wp-2Dcontent_uploads_IR301-2D2019-2D027-5FKitchen-2DExhaust-5FSDCappvd-5F10.6.22.pdf&amp;d=DwMDaQ&amp;c=euGZstcaTDllvimEN8b7jXrwqOf-v5A_CdpgnVfiiMM&amp;r=7XUwxAZbmftOVV1BsRddTg&amp;m=Ckd9MlpOfNxlE31vcr3vjpx6YO91tY34IwGW-Ws2vZqJf6f23C_ZVRY_uaMMbmZV&amp;s=hYCaq2WdICzS7uC6LKOB9LXlLOvwDPZ68Zdr-Y44dEI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301-2019-027 Modeling Continuous Bathroom &amp; Kitchen Exhaust Ventilation</w:t>
        </w:r>
      </w:hyperlink>
    </w:p>
    <w:p w14:paraId="280D9584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6" w:tgtFrame="_blank" w:tooltip="https://urldefense.proofpoint.com/v2/url?u=https-3A__www.resnet.us_wp-2Dcontent_uploads_IR301-2D2019-2D028-5FBalancedMechanicalVentilation-5Fwebpost.docx&amp;d=DwMDaQ&amp;c=euGZstcaTDllvimEN8b7jXrwqOf-v5A_CdpgnVfiiMM&amp;r=7XUwxAZbmftOVV1BsRddTg&amp;m=Ckd9MlpOfNxlE31vcr3vjpx6YO91tY34IwGW-Ws2vZqJf6f23C_ZVRY_uaMMbmZV&amp;s=25pM0YMoB_3-81BKw1V8dh5LO1-TS09QM62Ja6d4gu4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301-2019-028 Balanced Mechanical Ventilation</w:t>
        </w:r>
      </w:hyperlink>
    </w:p>
    <w:p w14:paraId="2C2DAFB0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7" w:tgtFrame="_blank" w:tooltip="https://urldefense.proofpoint.com/v2/url?u=https-3A__www.resnet.us_wp-2Dcontent_uploads_IR301-2D2019-2D029Existing-2DWall-2DInsul-2DGrade-5Fwebpost.pdf&amp;d=DwMDaQ&amp;c=euGZstcaTDllvimEN8b7jXrwqOf-v5A_CdpgnVfiiMM&amp;r=7XUwxAZbmftOVV1BsRddTg&amp;m=Ckd9MlpOfNxlE31vcr3vjpx6YO91tY34IwGW-Ws2vZqJf6f23C_ZVRY_uaMMbmZV&amp;s=6A3geIBVczL56hQUNWxsG54MjOf-AkxDlrpqFDRuAGw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301-2019-029 Existing Wall Insulation Grade</w:t>
        </w:r>
      </w:hyperlink>
    </w:p>
    <w:p w14:paraId="6FB9B865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8" w:tgtFrame="_blank" w:tooltip="https://urldefense.proofpoint.com/v2/url?u=https-3A__www.resnet.us_wp-2Dcontent_uploads_IR301-2D2019-2D030-2DHot-2DWater-2DDistribution-2DPiping-2DInsulation-5Ffinal.pdf&amp;d=DwMDaQ&amp;c=euGZstcaTDllvimEN8b7jXrwqOf-v5A_CdpgnVfiiMM&amp;r=7XUwxAZbmftOVV1BsRddTg&amp;m=Ckd9MlpOfNxlE31vcr3vjpx6YO91tY34IwGW-Ws2vZqJf6f23C_ZVRY_uaMMbmZV&amp;s=Uf8TNupcIa3B7lp1MxOQVGR5ffVSVCiRYtQUz9I8sys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301-2019-030 Hot Water Distribution Piping Insulation Requirements</w:t>
        </w:r>
      </w:hyperlink>
    </w:p>
    <w:p w14:paraId="42E3E324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39" w:tgtFrame="_blank" w:tooltip="https://urldefense.proofpoint.com/v2/url?u=https-3A__www.resnet.us_wp-2Dcontent_uploads_IR301-2D2019-2D031-2DIncluding-2DFinished-2DSpace-2Din-2DConditioned-2DFloor-2DArea-5Fwebpost2-2D1.pdf&amp;d=DwMDaQ&amp;c=euGZstcaTDllvimEN8b7jXrwqOf-v5A_CdpgnVfiiMM&amp;r=7XUwxAZbmftOVV1BsRddTg&amp;m=Ckd9MlpOfNxlE31vcr3vjpx6YO91tY34IwGW-Ws2vZqJf6f23C_ZVRY_uaMMbmZV&amp;s=21vBn-O1a-GmWlb4tTrlxImuaUeLrVl3hzSwxoOQ9-o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301-2019-031 Including Finished Space in Conditioned Floor Area</w:t>
        </w:r>
      </w:hyperlink>
    </w:p>
    <w:p w14:paraId="3B8DBDDC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40" w:tgtFrame="_blank" w:tooltip="https://urldefense.proofpoint.com/v2/url?u=https-3A__www.resnet.us_wp-2Dcontent_uploads_IR301-2D2019-2D032-2DHot-2DWater-2DDistribution-2DPipe-2DLength-2DCalc-5FSDC300-5Fwebpost.pdf&amp;d=DwMDaQ&amp;c=euGZstcaTDllvimEN8b7jXrwqOf-v5A_CdpgnVfiiMM&amp;r=7XUwxAZbmftOVV1BsRddTg&amp;m=Ckd9MlpOfNxlE31vcr3vjpx6YO91tY34IwGW-Ws2vZqJf6f23C_ZVRY_uaMMbmZV&amp;s=mfNiXOcR8IxPsSPN_IOLd3M3IfQZSYSwoEh7MEwGr4E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301-2019-032 Hot Water Distribution Pipe Length Calculation Requirements</w:t>
        </w:r>
      </w:hyperlink>
    </w:p>
    <w:p w14:paraId="47B97C56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41" w:tgtFrame="_blank" w:tooltip="https://urldefense.proofpoint.com/v2/url?u=https-3A__www.resnet.us_wp-2Dcontent_uploads_IR301-2D2019-2D033FixtureFactorDetermination-5Fwebpost.pdf&amp;d=DwMDaQ&amp;c=euGZstcaTDllvimEN8b7jXrwqOf-v5A_CdpgnVfiiMM&amp;r=7XUwxAZbmftOVV1BsRddTg&amp;m=Ckd9MlpOfNxlE31vcr3vjpx6YO91tY34IwGW-Ws2vZqJf6f23C_ZVRY_uaMMbmZV&amp;s=vU9EPQc3kdgs2QDvfr8WjNdiPJ8O-Ys7x2gcLHDe-80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301-2019-033 Fixture Factor Determination</w:t>
        </w:r>
      </w:hyperlink>
    </w:p>
    <w:p w14:paraId="31E3B9CC" w14:textId="77777777" w:rsidR="00D770D9" w:rsidRPr="00D770D9" w:rsidRDefault="00D770D9" w:rsidP="00D770D9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42" w:tgtFrame="_blank" w:tooltip="https://urldefense.proofpoint.com/v2/url?u=https-3A__www.resnet.us_wp-2Dcontent_uploads_IR301-2D2019-2D034-5FProratngSharedKithcenApplianceForSleepingUnits-5Fwebpost2.pdf&amp;d=DwMDaQ&amp;c=euGZstcaTDllvimEN8b7jXrwqOf-v5A_CdpgnVfiiMM&amp;r=7XUwxAZbmftOVV1BsRddTg&amp;m=Ckd9MlpOfNxlE31vcr3vjpx6YO91tY34IwGW-Ws2vZqJf6f23C_ZVRY_uaMMbmZV&amp;s=XBUSJtTXW32wVddF6pf1TmZcOSJiHdaoAE0tIEkfT9Q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301-2019-034 Prorating Shared Kitchen Appliances for Sleeping Units</w:t>
        </w:r>
      </w:hyperlink>
    </w:p>
    <w:p w14:paraId="4C9A532F" w14:textId="4B838BE4" w:rsidR="006A1D63" w:rsidRDefault="00D770D9" w:rsidP="00070AA4">
      <w:pPr>
        <w:numPr>
          <w:ilvl w:val="0"/>
          <w:numId w:val="12"/>
        </w:numPr>
        <w:rPr>
          <w:rFonts w:ascii="Arial" w:eastAsia="Arial" w:hAnsi="Arial" w:cs="Arial"/>
          <w:i/>
          <w:iCs/>
          <w:color w:val="212121"/>
        </w:rPr>
      </w:pPr>
      <w:hyperlink r:id="rId43" w:tgtFrame="_blank" w:tooltip="https://urldefense.proofpoint.com/v2/url?u=https-3A__www.resnet.us_wp-2Dcontent_uploads_IR-5F301-2D2019-2D035CoreFilledCMU-5Fwebpost.pdf&amp;d=DwMDaQ&amp;c=euGZstcaTDllvimEN8b7jXrwqOf-v5A_CdpgnVfiiMM&amp;r=7XUwxAZbmftOVV1BsRddTg&amp;m=Ckd9MlpOfNxlE31vcr3vjpx6YO91tY34IwGW-Ws2vZqJf6f23C_ZVRY_uaMMbmZV&amp;s=018FKPQ8Hlwjv5Kgas1WxHxeufT_ElQXEoyH6OtuX9A&amp;e=" w:history="1">
        <w:r w:rsidRPr="00D770D9">
          <w:rPr>
            <w:rStyle w:val="Hyperlink"/>
            <w:rFonts w:ascii="Arial" w:eastAsia="Arial" w:hAnsi="Arial" w:cs="Arial"/>
            <w:i/>
            <w:iCs/>
          </w:rPr>
          <w:t>No. 301-2019-035 Core-filled CMU block walls cannot achieve Grade I</w:t>
        </w:r>
      </w:hyperlink>
    </w:p>
    <w:p w14:paraId="1529CCBB" w14:textId="77777777" w:rsidR="00070AA4" w:rsidRPr="00070AA4" w:rsidRDefault="00070AA4" w:rsidP="00070AA4">
      <w:pPr>
        <w:rPr>
          <w:rFonts w:ascii="Arial" w:eastAsia="Arial" w:hAnsi="Arial" w:cs="Arial"/>
          <w:color w:val="212121"/>
        </w:rPr>
      </w:pPr>
    </w:p>
    <w:p w14:paraId="4FC885FC" w14:textId="77777777" w:rsidR="006A1D63" w:rsidRDefault="006A1D63" w:rsidP="00C44CC1">
      <w:pPr>
        <w:pStyle w:val="paragraph"/>
        <w:numPr>
          <w:ilvl w:val="0"/>
          <w:numId w:val="11"/>
        </w:numPr>
        <w:ind w:left="360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New business</w:t>
      </w:r>
    </w:p>
    <w:p w14:paraId="3B27B533" w14:textId="54C90A6C" w:rsidR="006A1D63" w:rsidRPr="00FF7E80" w:rsidRDefault="00FF7E80" w:rsidP="00C44CC1">
      <w:pPr>
        <w:pStyle w:val="paragraph"/>
        <w:textAlignment w:val="baseline"/>
        <w:rPr>
          <w:rFonts w:ascii="Arial" w:eastAsia="Arial" w:hAnsi="Arial" w:cs="Arial"/>
          <w:color w:val="212121"/>
        </w:rPr>
      </w:pPr>
      <w:r w:rsidRPr="00FF7E80">
        <w:rPr>
          <w:rFonts w:ascii="Arial" w:eastAsia="Arial" w:hAnsi="Arial" w:cs="Arial"/>
          <w:color w:val="212121"/>
        </w:rPr>
        <w:t>N/A</w:t>
      </w:r>
    </w:p>
    <w:p w14:paraId="25A65E1C" w14:textId="77777777" w:rsidR="00C44CC1" w:rsidRPr="008043B6" w:rsidRDefault="00C44CC1" w:rsidP="00C44CC1">
      <w:pPr>
        <w:pStyle w:val="paragraph"/>
        <w:textAlignment w:val="baseline"/>
        <w:rPr>
          <w:rFonts w:ascii="Arial" w:eastAsia="Arial" w:hAnsi="Arial" w:cs="Arial"/>
          <w:b/>
          <w:bCs/>
          <w:color w:val="212121"/>
        </w:rPr>
      </w:pPr>
    </w:p>
    <w:p w14:paraId="19DFE1FE" w14:textId="1E63ED9A" w:rsidR="00EB4151" w:rsidRDefault="006A1D63" w:rsidP="1F686485">
      <w:pPr>
        <w:pStyle w:val="paragraph"/>
        <w:numPr>
          <w:ilvl w:val="0"/>
          <w:numId w:val="11"/>
        </w:numPr>
        <w:ind w:left="360"/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Adjourn</w:t>
      </w:r>
    </w:p>
    <w:p w14:paraId="0B27A572" w14:textId="56D4A588" w:rsidR="00214389" w:rsidRPr="00214389" w:rsidRDefault="00214389" w:rsidP="00214389">
      <w:pPr>
        <w:pStyle w:val="paragraph"/>
        <w:textAlignment w:val="baseline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>Meeting adjourned at 2:39 PM ET.</w:t>
      </w:r>
    </w:p>
    <w:sectPr w:rsidR="00214389" w:rsidRPr="0021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449F"/>
    <w:multiLevelType w:val="multilevel"/>
    <w:tmpl w:val="A9A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D02D9"/>
    <w:multiLevelType w:val="multilevel"/>
    <w:tmpl w:val="004A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331D2"/>
    <w:multiLevelType w:val="hybridMultilevel"/>
    <w:tmpl w:val="0866AF20"/>
    <w:lvl w:ilvl="0" w:tplc="0074CD9A">
      <w:start w:val="1"/>
      <w:numFmt w:val="decimal"/>
      <w:lvlText w:val="%1."/>
      <w:lvlJc w:val="left"/>
      <w:pPr>
        <w:ind w:left="720" w:hanging="360"/>
      </w:pPr>
    </w:lvl>
    <w:lvl w:ilvl="1" w:tplc="1C46ED8A">
      <w:start w:val="1"/>
      <w:numFmt w:val="lowerLetter"/>
      <w:lvlText w:val="%2."/>
      <w:lvlJc w:val="left"/>
      <w:pPr>
        <w:ind w:left="1440" w:hanging="360"/>
      </w:pPr>
    </w:lvl>
    <w:lvl w:ilvl="2" w:tplc="4AD2DFA0">
      <w:start w:val="1"/>
      <w:numFmt w:val="lowerRoman"/>
      <w:lvlText w:val="%3."/>
      <w:lvlJc w:val="right"/>
      <w:pPr>
        <w:ind w:left="2160" w:hanging="180"/>
      </w:pPr>
    </w:lvl>
    <w:lvl w:ilvl="3" w:tplc="7DBAE97C">
      <w:start w:val="1"/>
      <w:numFmt w:val="decimal"/>
      <w:lvlText w:val="%4."/>
      <w:lvlJc w:val="left"/>
      <w:pPr>
        <w:ind w:left="2880" w:hanging="360"/>
      </w:pPr>
    </w:lvl>
    <w:lvl w:ilvl="4" w:tplc="CF8EF664">
      <w:start w:val="1"/>
      <w:numFmt w:val="lowerLetter"/>
      <w:lvlText w:val="%5."/>
      <w:lvlJc w:val="left"/>
      <w:pPr>
        <w:ind w:left="3600" w:hanging="360"/>
      </w:pPr>
    </w:lvl>
    <w:lvl w:ilvl="5" w:tplc="E2208A90">
      <w:start w:val="1"/>
      <w:numFmt w:val="lowerRoman"/>
      <w:lvlText w:val="%6."/>
      <w:lvlJc w:val="right"/>
      <w:pPr>
        <w:ind w:left="4320" w:hanging="180"/>
      </w:pPr>
    </w:lvl>
    <w:lvl w:ilvl="6" w:tplc="3A02DB8E">
      <w:start w:val="1"/>
      <w:numFmt w:val="decimal"/>
      <w:lvlText w:val="%7."/>
      <w:lvlJc w:val="left"/>
      <w:pPr>
        <w:ind w:left="5040" w:hanging="360"/>
      </w:pPr>
    </w:lvl>
    <w:lvl w:ilvl="7" w:tplc="8E0CF014">
      <w:start w:val="1"/>
      <w:numFmt w:val="lowerLetter"/>
      <w:lvlText w:val="%8."/>
      <w:lvlJc w:val="left"/>
      <w:pPr>
        <w:ind w:left="5760" w:hanging="360"/>
      </w:pPr>
    </w:lvl>
    <w:lvl w:ilvl="8" w:tplc="E10056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93F4"/>
    <w:multiLevelType w:val="hybridMultilevel"/>
    <w:tmpl w:val="DDAED71A"/>
    <w:lvl w:ilvl="0" w:tplc="C276A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6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CD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E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8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7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2C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A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42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F180C"/>
    <w:multiLevelType w:val="hybridMultilevel"/>
    <w:tmpl w:val="682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8386">
    <w:abstractNumId w:val="9"/>
  </w:num>
  <w:num w:numId="2" w16cid:durableId="1694570511">
    <w:abstractNumId w:val="8"/>
  </w:num>
  <w:num w:numId="3" w16cid:durableId="831800908">
    <w:abstractNumId w:val="10"/>
  </w:num>
  <w:num w:numId="4" w16cid:durableId="1381586942">
    <w:abstractNumId w:val="4"/>
  </w:num>
  <w:num w:numId="5" w16cid:durableId="1733918098">
    <w:abstractNumId w:val="1"/>
  </w:num>
  <w:num w:numId="6" w16cid:durableId="1583568575">
    <w:abstractNumId w:val="6"/>
  </w:num>
  <w:num w:numId="7" w16cid:durableId="106433033">
    <w:abstractNumId w:val="0"/>
  </w:num>
  <w:num w:numId="8" w16cid:durableId="526329557">
    <w:abstractNumId w:val="7"/>
  </w:num>
  <w:num w:numId="9" w16cid:durableId="1975255249">
    <w:abstractNumId w:val="5"/>
  </w:num>
  <w:num w:numId="10" w16cid:durableId="1399326497">
    <w:abstractNumId w:val="2"/>
  </w:num>
  <w:num w:numId="11" w16cid:durableId="1436513213">
    <w:abstractNumId w:val="11"/>
  </w:num>
  <w:num w:numId="12" w16cid:durableId="52213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246C7"/>
    <w:rsid w:val="000356E6"/>
    <w:rsid w:val="00056909"/>
    <w:rsid w:val="00070AA4"/>
    <w:rsid w:val="0007278A"/>
    <w:rsid w:val="00083496"/>
    <w:rsid w:val="000A5FA5"/>
    <w:rsid w:val="000B580E"/>
    <w:rsid w:val="000C2F41"/>
    <w:rsid w:val="000E7934"/>
    <w:rsid w:val="00103499"/>
    <w:rsid w:val="001034C6"/>
    <w:rsid w:val="00126B39"/>
    <w:rsid w:val="00164D0F"/>
    <w:rsid w:val="00165E80"/>
    <w:rsid w:val="00181150"/>
    <w:rsid w:val="001A4E32"/>
    <w:rsid w:val="001E0F5E"/>
    <w:rsid w:val="001E261F"/>
    <w:rsid w:val="001E46E9"/>
    <w:rsid w:val="00212FFE"/>
    <w:rsid w:val="00214389"/>
    <w:rsid w:val="002359F9"/>
    <w:rsid w:val="00252C5B"/>
    <w:rsid w:val="002543C7"/>
    <w:rsid w:val="002636DD"/>
    <w:rsid w:val="00264EF8"/>
    <w:rsid w:val="00275302"/>
    <w:rsid w:val="00292865"/>
    <w:rsid w:val="002A518D"/>
    <w:rsid w:val="002B18EE"/>
    <w:rsid w:val="002D5BA2"/>
    <w:rsid w:val="002E3673"/>
    <w:rsid w:val="002F11F0"/>
    <w:rsid w:val="00303244"/>
    <w:rsid w:val="003262CE"/>
    <w:rsid w:val="0033699B"/>
    <w:rsid w:val="003760CC"/>
    <w:rsid w:val="00391BEF"/>
    <w:rsid w:val="003C0EFE"/>
    <w:rsid w:val="00400924"/>
    <w:rsid w:val="00422DE5"/>
    <w:rsid w:val="004558B9"/>
    <w:rsid w:val="00481957"/>
    <w:rsid w:val="004A4070"/>
    <w:rsid w:val="00512E3C"/>
    <w:rsid w:val="00515409"/>
    <w:rsid w:val="00533723"/>
    <w:rsid w:val="0056106E"/>
    <w:rsid w:val="00577E61"/>
    <w:rsid w:val="005A2ECA"/>
    <w:rsid w:val="005B48FC"/>
    <w:rsid w:val="005B72A4"/>
    <w:rsid w:val="005D0ECE"/>
    <w:rsid w:val="005D6DA5"/>
    <w:rsid w:val="006126CF"/>
    <w:rsid w:val="00623021"/>
    <w:rsid w:val="00626EA6"/>
    <w:rsid w:val="00644224"/>
    <w:rsid w:val="006A1D63"/>
    <w:rsid w:val="006A6250"/>
    <w:rsid w:val="006A7C13"/>
    <w:rsid w:val="006D2552"/>
    <w:rsid w:val="006D39F4"/>
    <w:rsid w:val="007052A2"/>
    <w:rsid w:val="007238D9"/>
    <w:rsid w:val="00723EB4"/>
    <w:rsid w:val="00754EF4"/>
    <w:rsid w:val="00757FE6"/>
    <w:rsid w:val="0078083D"/>
    <w:rsid w:val="007955E8"/>
    <w:rsid w:val="007D1013"/>
    <w:rsid w:val="007E5DCE"/>
    <w:rsid w:val="008261D1"/>
    <w:rsid w:val="0085271C"/>
    <w:rsid w:val="00870E7A"/>
    <w:rsid w:val="00907A96"/>
    <w:rsid w:val="00925820"/>
    <w:rsid w:val="0094791A"/>
    <w:rsid w:val="00966825"/>
    <w:rsid w:val="009915A7"/>
    <w:rsid w:val="009B094F"/>
    <w:rsid w:val="009B3F10"/>
    <w:rsid w:val="009B6455"/>
    <w:rsid w:val="009E5416"/>
    <w:rsid w:val="009F5A94"/>
    <w:rsid w:val="00A61CBD"/>
    <w:rsid w:val="00A714D3"/>
    <w:rsid w:val="00AA0041"/>
    <w:rsid w:val="00AA6709"/>
    <w:rsid w:val="00AA686D"/>
    <w:rsid w:val="00AB7F4C"/>
    <w:rsid w:val="00AF3DB2"/>
    <w:rsid w:val="00AF4D40"/>
    <w:rsid w:val="00B05B82"/>
    <w:rsid w:val="00B0606C"/>
    <w:rsid w:val="00B104F0"/>
    <w:rsid w:val="00B14DE7"/>
    <w:rsid w:val="00B15A11"/>
    <w:rsid w:val="00B31F3F"/>
    <w:rsid w:val="00B57D6C"/>
    <w:rsid w:val="00B848A7"/>
    <w:rsid w:val="00B93697"/>
    <w:rsid w:val="00BA0B61"/>
    <w:rsid w:val="00BA11FC"/>
    <w:rsid w:val="00BA6807"/>
    <w:rsid w:val="00BE49BE"/>
    <w:rsid w:val="00BE5964"/>
    <w:rsid w:val="00C07881"/>
    <w:rsid w:val="00C126A8"/>
    <w:rsid w:val="00C241E3"/>
    <w:rsid w:val="00C350EB"/>
    <w:rsid w:val="00C44CC1"/>
    <w:rsid w:val="00C86821"/>
    <w:rsid w:val="00CA07D6"/>
    <w:rsid w:val="00CC1CC8"/>
    <w:rsid w:val="00D07418"/>
    <w:rsid w:val="00D770D9"/>
    <w:rsid w:val="00D82ACD"/>
    <w:rsid w:val="00DA5C7D"/>
    <w:rsid w:val="00DA7376"/>
    <w:rsid w:val="00DB2470"/>
    <w:rsid w:val="00DB756E"/>
    <w:rsid w:val="00DC65FE"/>
    <w:rsid w:val="00E069EC"/>
    <w:rsid w:val="00E36288"/>
    <w:rsid w:val="00E51CFD"/>
    <w:rsid w:val="00EB405C"/>
    <w:rsid w:val="00EB4151"/>
    <w:rsid w:val="00EB5560"/>
    <w:rsid w:val="00EC06A9"/>
    <w:rsid w:val="00EE13A2"/>
    <w:rsid w:val="00F16E69"/>
    <w:rsid w:val="00F31D4C"/>
    <w:rsid w:val="00F43DF1"/>
    <w:rsid w:val="00F51AEF"/>
    <w:rsid w:val="00F53756"/>
    <w:rsid w:val="00F84323"/>
    <w:rsid w:val="00FB0170"/>
    <w:rsid w:val="00FB2343"/>
    <w:rsid w:val="00FC6188"/>
    <w:rsid w:val="00FC7C3C"/>
    <w:rsid w:val="00FF7E80"/>
    <w:rsid w:val="01A8CB52"/>
    <w:rsid w:val="047A7EEE"/>
    <w:rsid w:val="0A8C2812"/>
    <w:rsid w:val="0BCFF530"/>
    <w:rsid w:val="150B6764"/>
    <w:rsid w:val="183ACAA8"/>
    <w:rsid w:val="19FA1711"/>
    <w:rsid w:val="1CCD4CA9"/>
    <w:rsid w:val="1F686485"/>
    <w:rsid w:val="1F6E1DEA"/>
    <w:rsid w:val="216E36E1"/>
    <w:rsid w:val="220376B0"/>
    <w:rsid w:val="22E45774"/>
    <w:rsid w:val="24DE2B4C"/>
    <w:rsid w:val="282F72F9"/>
    <w:rsid w:val="2939A8F6"/>
    <w:rsid w:val="2A69AEDD"/>
    <w:rsid w:val="2A79ACA1"/>
    <w:rsid w:val="2FDFB42A"/>
    <w:rsid w:val="304D75B8"/>
    <w:rsid w:val="3F336DC0"/>
    <w:rsid w:val="3F7058C7"/>
    <w:rsid w:val="3FFDE295"/>
    <w:rsid w:val="47832794"/>
    <w:rsid w:val="4B7D81DC"/>
    <w:rsid w:val="4C604654"/>
    <w:rsid w:val="4E17C894"/>
    <w:rsid w:val="55018DFA"/>
    <w:rsid w:val="5BC9F665"/>
    <w:rsid w:val="5CF64459"/>
    <w:rsid w:val="5D935758"/>
    <w:rsid w:val="60D73F8F"/>
    <w:rsid w:val="6B65792F"/>
    <w:rsid w:val="6D866E38"/>
    <w:rsid w:val="6D8E197E"/>
    <w:rsid w:val="6E33FA66"/>
    <w:rsid w:val="71AFCA48"/>
    <w:rsid w:val="71B6030B"/>
    <w:rsid w:val="75B0C8B1"/>
    <w:rsid w:val="77039985"/>
    <w:rsid w:val="7AAA46C5"/>
    <w:rsid w:val="7FB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6596A02C-B232-45DF-BE61-8FA306E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proofpoint.com/v2/url?u=https-3A__www.resnet.us_wp-2Dcontent_uploads_IR301-2D2019-2D004-5FFibrousInsulationOnConditionedBasementCrawlspace-5Fwebpost.pdf&amp;d=DwMDaQ&amp;c=euGZstcaTDllvimEN8b7jXrwqOf-v5A_CdpgnVfiiMM&amp;r=7XUwxAZbmftOVV1BsRddTg&amp;m=Ckd9MlpOfNxlE31vcr3vjpx6YO91tY34IwGW-Ws2vZqJf6f23C_ZVRY_uaMMbmZV&amp;s=7dxXtR3mezkvBtdgHIk277fR_b6vOV4Ps8DSm8QH0Ac&amp;e=" TargetMode="External"/><Relationship Id="rId18" Type="http://schemas.openxmlformats.org/officeDocument/2006/relationships/hyperlink" Target="https://urldefense.proofpoint.com/v2/url?u=https-3A__www.resnet.us_wp-2Dcontent_uploads_IR-2D301-2D2019-2D010Floor-2DRim-2DBand-2DUnconditioned-2DSpace-2DAir-2DBarrier-5Fwebpost.pdf&amp;d=DwMDaQ&amp;c=euGZstcaTDllvimEN8b7jXrwqOf-v5A_CdpgnVfiiMM&amp;r=7XUwxAZbmftOVV1BsRddTg&amp;m=Ckd9MlpOfNxlE31vcr3vjpx6YO91tY34IwGW-Ws2vZqJf6f23C_ZVRY_uaMMbmZV&amp;s=jKMWVo68HvI0Y37D0hnoaVO7d9H9NBFAKuX5gg6S3kI&amp;e=" TargetMode="External"/><Relationship Id="rId26" Type="http://schemas.openxmlformats.org/officeDocument/2006/relationships/hyperlink" Target="https://urldefense.proofpoint.com/v2/url?u=https-3A__www.resnet.us_wp-2Dcontent_uploads_IR301-2D2019-2D018KitchenFaucet-5Fweb.docx&amp;d=DwMDaQ&amp;c=euGZstcaTDllvimEN8b7jXrwqOf-v5A_CdpgnVfiiMM&amp;r=7XUwxAZbmftOVV1BsRddTg&amp;m=Ckd9MlpOfNxlE31vcr3vjpx6YO91tY34IwGW-Ws2vZqJf6f23C_ZVRY_uaMMbmZV&amp;s=1z_oZnmO7IOsGTn00Pho9RIiTwkgDESLKokNOucPQkA&amp;e=" TargetMode="External"/><Relationship Id="rId39" Type="http://schemas.openxmlformats.org/officeDocument/2006/relationships/hyperlink" Target="https://urldefense.proofpoint.com/v2/url?u=https-3A__www.resnet.us_wp-2Dcontent_uploads_IR301-2D2019-2D031-2DIncluding-2DFinished-2DSpace-2Din-2DConditioned-2DFloor-2DArea-5Fwebpost2-2D1.pdf&amp;d=DwMDaQ&amp;c=euGZstcaTDllvimEN8b7jXrwqOf-v5A_CdpgnVfiiMM&amp;r=7XUwxAZbmftOVV1BsRddTg&amp;m=Ckd9MlpOfNxlE31vcr3vjpx6YO91tY34IwGW-Ws2vZqJf6f23C_ZVRY_uaMMbmZV&amp;s=21vBn-O1a-GmWlb4tTrlxImuaUeLrVl3hzSwxoOQ9-o&amp;e=" TargetMode="External"/><Relationship Id="rId21" Type="http://schemas.openxmlformats.org/officeDocument/2006/relationships/hyperlink" Target="https://urldefense.proofpoint.com/v2/url?u=https-3A__www.resnet.us_wp-2Dcontent_uploads_IR-2D301-2D2019-2D012-5Fvf-2D1.docx&amp;d=DwMDaQ&amp;c=euGZstcaTDllvimEN8b7jXrwqOf-v5A_CdpgnVfiiMM&amp;r=7XUwxAZbmftOVV1BsRddTg&amp;m=Ckd9MlpOfNxlE31vcr3vjpx6YO91tY34IwGW-Ws2vZqJf6f23C_ZVRY_uaMMbmZV&amp;s=a4xoLjVNAHYGge6da3wx1RB0WePmQqqB74b2IUx8R4U&amp;e=" TargetMode="External"/><Relationship Id="rId34" Type="http://schemas.openxmlformats.org/officeDocument/2006/relationships/hyperlink" Target="https://urldefense.proofpoint.com/v2/url?u=https-3A__www.resnet.us_wp-2Dcontent_uploads_IR-2D301-2D2019-2D026-2DModelingHomesWithoutBuilderSpecifiedAppliances-5Fwebpost-2D1.pdf&amp;d=DwMDaQ&amp;c=euGZstcaTDllvimEN8b7jXrwqOf-v5A_CdpgnVfiiMM&amp;r=7XUwxAZbmftOVV1BsRddTg&amp;m=Ckd9MlpOfNxlE31vcr3vjpx6YO91tY34IwGW-Ws2vZqJf6f23C_ZVRY_uaMMbmZV&amp;s=zGP75TYFS6KkoZmgDJx0SRy_Di1At0jigFV2CVIJRTI&amp;e=" TargetMode="External"/><Relationship Id="rId42" Type="http://schemas.openxmlformats.org/officeDocument/2006/relationships/hyperlink" Target="https://urldefense.proofpoint.com/v2/url?u=https-3A__www.resnet.us_wp-2Dcontent_uploads_IR301-2D2019-2D034-5FProratngSharedKithcenApplianceForSleepingUnits-5Fwebpost2.pdf&amp;d=DwMDaQ&amp;c=euGZstcaTDllvimEN8b7jXrwqOf-v5A_CdpgnVfiiMM&amp;r=7XUwxAZbmftOVV1BsRddTg&amp;m=Ckd9MlpOfNxlE31vcr3vjpx6YO91tY34IwGW-Ws2vZqJf6f23C_ZVRY_uaMMbmZV&amp;s=XBUSJtTXW32wVddF6pf1TmZcOSJiHdaoAE0tIEkfT9Q&amp;e=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s-3A__www.resnet.us_wp-2Dcontent_uploads_IR301-2D2019-2D008-5FRadiantBarrierGradingRoof-5Fwebpost.pdf&amp;d=DwMDaQ&amp;c=euGZstcaTDllvimEN8b7jXrwqOf-v5A_CdpgnVfiiMM&amp;r=7XUwxAZbmftOVV1BsRddTg&amp;m=Ckd9MlpOfNxlE31vcr3vjpx6YO91tY34IwGW-Ws2vZqJf6f23C_ZVRY_uaMMbmZV&amp;s=hgbfHYi8DZ3XU3XgbNwx_pjRmfkMGK_af4UaywRMQhI&amp;e=" TargetMode="External"/><Relationship Id="rId29" Type="http://schemas.openxmlformats.org/officeDocument/2006/relationships/hyperlink" Target="https://urldefense.proofpoint.com/v2/url?u=https-3A__www.resnet.us_wp-2Dcontent_uploads_IR-5F301-2D2019-2D021-5FInsulCmprsnGrdng-5Fvfinal1.13.21-5Fwebpost.docx&amp;d=DwMDaQ&amp;c=euGZstcaTDllvimEN8b7jXrwqOf-v5A_CdpgnVfiiMM&amp;r=7XUwxAZbmftOVV1BsRddTg&amp;m=Ckd9MlpOfNxlE31vcr3vjpx6YO91tY34IwGW-Ws2vZqJf6f23C_ZVRY_uaMMbmZV&amp;s=lbgJiM1K2e1TOPC6ObP8LhFZJH0h8xER4tpYEZV24Ig&amp;e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proofpoint.com/v2/url?u=https-3A__www.resnet.us_wp-2Dcontent_uploads_IR-2D301-2D2019-2D002-2DVentilation-2DRuntime-2Dand-2DControls-5F6moTP-2D1.pdf&amp;d=DwMDaQ&amp;c=euGZstcaTDllvimEN8b7jXrwqOf-v5A_CdpgnVfiiMM&amp;r=7XUwxAZbmftOVV1BsRddTg&amp;m=Ckd9MlpOfNxlE31vcr3vjpx6YO91tY34IwGW-Ws2vZqJf6f23C_ZVRY_uaMMbmZV&amp;s=tqSlPKIpskkp_4E_vuwG3OC4GoKEpGF_r0hwDE1qcY0&amp;e=" TargetMode="External"/><Relationship Id="rId24" Type="http://schemas.openxmlformats.org/officeDocument/2006/relationships/hyperlink" Target="https://urldefense.proofpoint.com/v2/url?u=https-3A__www.resnet.us_wp-2Dcontent_uploads_IR-2D301-2D2019-2D016-5FAttribution-2Dof-2DHot-2DWater-2Dloads-5Fv.f.docx&amp;d=DwMDaQ&amp;c=euGZstcaTDllvimEN8b7jXrwqOf-v5A_CdpgnVfiiMM&amp;r=7XUwxAZbmftOVV1BsRddTg&amp;m=Ckd9MlpOfNxlE31vcr3vjpx6YO91tY34IwGW-Ws2vZqJf6f23C_ZVRY_uaMMbmZV&amp;s=b8UEcyKrcfwP9RsBatL7vGHxLYYCKKsJ8QIyGkfSFwY&amp;e=" TargetMode="External"/><Relationship Id="rId32" Type="http://schemas.openxmlformats.org/officeDocument/2006/relationships/hyperlink" Target="https://urldefense.proofpoint.com/v2/url?u=https-3A__www.resnet.us_wp-2Dcontent_uploads_IR301-2D2019-2D024Natatorium-5FCSV-2DCFA-5Fwebpost-2D1.pdf&amp;d=DwMDaQ&amp;c=euGZstcaTDllvimEN8b7jXrwqOf-v5A_CdpgnVfiiMM&amp;r=7XUwxAZbmftOVV1BsRddTg&amp;m=Ckd9MlpOfNxlE31vcr3vjpx6YO91tY34IwGW-Ws2vZqJf6f23C_ZVRY_uaMMbmZV&amp;s=mx3XkTOoTGG8qocKu_HzENB_7zoGPXO5yRtvYFvRbZg&amp;e=" TargetMode="External"/><Relationship Id="rId37" Type="http://schemas.openxmlformats.org/officeDocument/2006/relationships/hyperlink" Target="https://urldefense.proofpoint.com/v2/url?u=https-3A__www.resnet.us_wp-2Dcontent_uploads_IR301-2D2019-2D029Existing-2DWall-2DInsul-2DGrade-5Fwebpost.pdf&amp;d=DwMDaQ&amp;c=euGZstcaTDllvimEN8b7jXrwqOf-v5A_CdpgnVfiiMM&amp;r=7XUwxAZbmftOVV1BsRddTg&amp;m=Ckd9MlpOfNxlE31vcr3vjpx6YO91tY34IwGW-Ws2vZqJf6f23C_ZVRY_uaMMbmZV&amp;s=6A3geIBVczL56hQUNWxsG54MjOf-AkxDlrpqFDRuAGw&amp;e=" TargetMode="External"/><Relationship Id="rId40" Type="http://schemas.openxmlformats.org/officeDocument/2006/relationships/hyperlink" Target="https://urldefense.proofpoint.com/v2/url?u=https-3A__www.resnet.us_wp-2Dcontent_uploads_IR301-2D2019-2D032-2DHot-2DWater-2DDistribution-2DPipe-2DLength-2DCalc-5FSDC300-5Fwebpost.pdf&amp;d=DwMDaQ&amp;c=euGZstcaTDllvimEN8b7jXrwqOf-v5A_CdpgnVfiiMM&amp;r=7XUwxAZbmftOVV1BsRddTg&amp;m=Ckd9MlpOfNxlE31vcr3vjpx6YO91tY34IwGW-Ws2vZqJf6f23C_ZVRY_uaMMbmZV&amp;s=mfNiXOcR8IxPsSPN_IOLd3M3IfQZSYSwoEh7MEwGr4E&amp;e=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urldefense.proofpoint.com/v2/url?u=https-3A__www.resnet.us_wp-2Dcontent_uploads_IR301-2D2019-2D007-5FRadiantBarrierGradingClarification-5Fwebpost.pdf&amp;d=DwMDaQ&amp;c=euGZstcaTDllvimEN8b7jXrwqOf-v5A_CdpgnVfiiMM&amp;r=7XUwxAZbmftOVV1BsRddTg&amp;m=Ckd9MlpOfNxlE31vcr3vjpx6YO91tY34IwGW-Ws2vZqJf6f23C_ZVRY_uaMMbmZV&amp;s=pffUy5SffO-LCDf09ueVETFLiD456zrE5llJMyrsiJk&amp;e=" TargetMode="External"/><Relationship Id="rId23" Type="http://schemas.openxmlformats.org/officeDocument/2006/relationships/hyperlink" Target="https://urldefense.proofpoint.com/v2/url?u=https-3A__www.resnet.us_wp-2Dcontent_uploads_IR-2D301-2D2019-2D015-5FDoorAreaCalculationProcedure-5Fwebpost.pdf&amp;d=DwMDaQ&amp;c=euGZstcaTDllvimEN8b7jXrwqOf-v5A_CdpgnVfiiMM&amp;r=7XUwxAZbmftOVV1BsRddTg&amp;m=Ckd9MlpOfNxlE31vcr3vjpx6YO91tY34IwGW-Ws2vZqJf6f23C_ZVRY_uaMMbmZV&amp;s=QgSdZBLGJqLflK0sqVktscC0gRywFYw-kaRzagj17nk&amp;e=" TargetMode="External"/><Relationship Id="rId28" Type="http://schemas.openxmlformats.org/officeDocument/2006/relationships/hyperlink" Target="https://urldefense.proofpoint.com/v2/url?u=https-3A__www.resnet.us_wp-2Dcontent_uploads_IR301-2D2019-2D020-5FShrdVntltnSysTstng-5Fwebpost.docx&amp;d=DwMDaQ&amp;c=euGZstcaTDllvimEN8b7jXrwqOf-v5A_CdpgnVfiiMM&amp;r=7XUwxAZbmftOVV1BsRddTg&amp;m=Ckd9MlpOfNxlE31vcr3vjpx6YO91tY34IwGW-Ws2vZqJf6f23C_ZVRY_uaMMbmZV&amp;s=VIMzcO9w7AYqVtMjukdWpwsH_U0Qa0gAt7bgU_1Zp54&amp;e=" TargetMode="External"/><Relationship Id="rId36" Type="http://schemas.openxmlformats.org/officeDocument/2006/relationships/hyperlink" Target="https://urldefense.proofpoint.com/v2/url?u=https-3A__www.resnet.us_wp-2Dcontent_uploads_IR301-2D2019-2D028-5FBalancedMechanicalVentilation-5Fwebpost.docx&amp;d=DwMDaQ&amp;c=euGZstcaTDllvimEN8b7jXrwqOf-v5A_CdpgnVfiiMM&amp;r=7XUwxAZbmftOVV1BsRddTg&amp;m=Ckd9MlpOfNxlE31vcr3vjpx6YO91tY34IwGW-Ws2vZqJf6f23C_ZVRY_uaMMbmZV&amp;s=25pM0YMoB_3-81BKw1V8dh5LO1-TS09QM62Ja6d4gu4&amp;e=" TargetMode="External"/><Relationship Id="rId10" Type="http://schemas.openxmlformats.org/officeDocument/2006/relationships/hyperlink" Target="https://urldefense.proofpoint.com/v2/url?u=https-3A__www.resnet.us_wp-2Dcontent_uploads_IR-2D301-2D2019-2D001-2DFanEnergyUnmeasuredMechVentilation-5Ffinal.pdf&amp;d=DwMDaQ&amp;c=euGZstcaTDllvimEN8b7jXrwqOf-v5A_CdpgnVfiiMM&amp;r=7XUwxAZbmftOVV1BsRddTg&amp;m=Ckd9MlpOfNxlE31vcr3vjpx6YO91tY34IwGW-Ws2vZqJf6f23C_ZVRY_uaMMbmZV&amp;s=RZC_gHtyDIhOXxtF1Win6U1chyum2N8j-pVdGd9O1qU&amp;e=" TargetMode="External"/><Relationship Id="rId19" Type="http://schemas.openxmlformats.org/officeDocument/2006/relationships/hyperlink" Target="https://urldefense.proofpoint.com/v2/url?u=https-3A__www.resnet.us_wp-2Dcontent_uploads_IR-2D301-2D2019-2D011-5FGrdngInstallModelingCompresd-2DR-2DValue-5Fwebpost.pdf&amp;d=DwMDaQ&amp;c=euGZstcaTDllvimEN8b7jXrwqOf-v5A_CdpgnVfiiMM&amp;r=7XUwxAZbmftOVV1BsRddTg&amp;m=Ckd9MlpOfNxlE31vcr3vjpx6YO91tY34IwGW-Ws2vZqJf6f23C_ZVRY_uaMMbmZV&amp;s=CqttrAUbni_56ctxtyKVxYiMLW2TZbZLdOieKRBhxQU&amp;e=" TargetMode="External"/><Relationship Id="rId31" Type="http://schemas.openxmlformats.org/officeDocument/2006/relationships/hyperlink" Target="https://urldefense.proofpoint.com/v2/url?u=https-3A__www.resnet.us_wp-2Dcontent_uploads_IR301-2D2019-2D023-5FFloorCavityInsulFillForGradeI-5Fwebpost.pdf&amp;d=DwMDaQ&amp;c=euGZstcaTDllvimEN8b7jXrwqOf-v5A_CdpgnVfiiMM&amp;r=7XUwxAZbmftOVV1BsRddTg&amp;m=Ckd9MlpOfNxlE31vcr3vjpx6YO91tY34IwGW-Ws2vZqJf6f23C_ZVRY_uaMMbmZV&amp;s=fwIaLKIc6aAQJBB181KXLZvCLuwE5aG8Rn79wwm8x2E&amp;e=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tipzxm7h0wyrl6yqzsw41_SDC-2D301-2DCALCULATIONS-2DSC-2DCall-2DDraft-2DMeeting-2DMinutes-5F2-2D3-2D2025.docx-3Frlkey-3D456exgp6cls3ltjgloiejmmob-26e-3D2-26st-3Dbz82fak4-26dl-3D0&amp;d=DwMDaQ&amp;c=euGZstcaTDllvimEN8b7jXrwqOf-v5A_CdpgnVfiiMM&amp;r=7XUwxAZbmftOVV1BsRddTg&amp;m=Ckd9MlpOfNxlE31vcr3vjpx6YO91tY34IwGW-Ws2vZqJf6f23C_ZVRY_uaMMbmZV&amp;s=y0zDPUzlMNyztHqjTxt9aw27dCQ3l7x39_C6koQaJHM&amp;e=" TargetMode="External"/><Relationship Id="rId14" Type="http://schemas.openxmlformats.org/officeDocument/2006/relationships/hyperlink" Target="https://urldefense.proofpoint.com/v2/url?u=https-3A__www.resnet.us_wp-2Dcontent_uploads_IR-2D301-2D2019-2D006-5FOpenCellFoamThickness-5Fwebpost.pdf&amp;d=DwMDaQ&amp;c=euGZstcaTDllvimEN8b7jXrwqOf-v5A_CdpgnVfiiMM&amp;r=7XUwxAZbmftOVV1BsRddTg&amp;m=Ckd9MlpOfNxlE31vcr3vjpx6YO91tY34IwGW-Ws2vZqJf6f23C_ZVRY_uaMMbmZV&amp;s=ctPh6B5gGot7POAq1jq5wGYkVNv3CynrDTs2wxjiH3I&amp;e=" TargetMode="External"/><Relationship Id="rId22" Type="http://schemas.openxmlformats.org/officeDocument/2006/relationships/hyperlink" Target="https://urldefense.proofpoint.com/v2/url?u=https-3A__www.resnet.us_wp-2Dcontent_uploads_IR-2D301-2D2019-2D014-5FPercentageAreaRequired-2DVisualInsulationVerification-5Fwebpost.pdf&amp;d=DwMDaQ&amp;c=euGZstcaTDllvimEN8b7jXrwqOf-v5A_CdpgnVfiiMM&amp;r=7XUwxAZbmftOVV1BsRddTg&amp;m=Ckd9MlpOfNxlE31vcr3vjpx6YO91tY34IwGW-Ws2vZqJf6f23C_ZVRY_uaMMbmZV&amp;s=J000js0LMDyMdEnB3BSaVtVooib2lTmksETHXXJwqQs&amp;e=" TargetMode="External"/><Relationship Id="rId27" Type="http://schemas.openxmlformats.org/officeDocument/2006/relationships/hyperlink" Target="https://urldefense.proofpoint.com/v2/url?u=https-3A__www.resnet.us_wp-2Dcontent_uploads_IR-5F301-2D2019-2D019-5FAirtightnessTestRqmnt-5Fwebpost.docx&amp;d=DwMDaQ&amp;c=euGZstcaTDllvimEN8b7jXrwqOf-v5A_CdpgnVfiiMM&amp;r=7XUwxAZbmftOVV1BsRddTg&amp;m=Ckd9MlpOfNxlE31vcr3vjpx6YO91tY34IwGW-Ws2vZqJf6f23C_ZVRY_uaMMbmZV&amp;s=52_z4ywyO8RgKfzfJ5gw132w5_Uck5wqXw40FDxwhv0&amp;e=" TargetMode="External"/><Relationship Id="rId30" Type="http://schemas.openxmlformats.org/officeDocument/2006/relationships/hyperlink" Target="https://urldefense.proofpoint.com/v2/url?u=https-3A__www.resnet.us_wp-2Dcontent_uploads_IR301-2D2019-2D022-5Fwebpost.pdf&amp;d=DwMDaQ&amp;c=euGZstcaTDllvimEN8b7jXrwqOf-v5A_CdpgnVfiiMM&amp;r=7XUwxAZbmftOVV1BsRddTg&amp;m=Ckd9MlpOfNxlE31vcr3vjpx6YO91tY34IwGW-Ws2vZqJf6f23C_ZVRY_uaMMbmZV&amp;s=y-UFlvyksRAUzNu-4bJi1iAZpjNntxJSm9T54JWuMnQ&amp;e=" TargetMode="External"/><Relationship Id="rId35" Type="http://schemas.openxmlformats.org/officeDocument/2006/relationships/hyperlink" Target="https://urldefense.proofpoint.com/v2/url?u=https-3A__www.resnet.us_wp-2Dcontent_uploads_IR301-2D2019-2D027-5FKitchen-2DExhaust-5FSDCappvd-5F10.6.22.pdf&amp;d=DwMDaQ&amp;c=euGZstcaTDllvimEN8b7jXrwqOf-v5A_CdpgnVfiiMM&amp;r=7XUwxAZbmftOVV1BsRddTg&amp;m=Ckd9MlpOfNxlE31vcr3vjpx6YO91tY34IwGW-Ws2vZqJf6f23C_ZVRY_uaMMbmZV&amp;s=hYCaq2WdICzS7uC6LKOB9LXlLOvwDPZ68Zdr-Y44dEI&amp;e=" TargetMode="External"/><Relationship Id="rId43" Type="http://schemas.openxmlformats.org/officeDocument/2006/relationships/hyperlink" Target="https://urldefense.proofpoint.com/v2/url?u=https-3A__www.resnet.us_wp-2Dcontent_uploads_IR-5F301-2D2019-2D035CoreFilledCMU-5Fwebpost.pdf&amp;d=DwMDaQ&amp;c=euGZstcaTDllvimEN8b7jXrwqOf-v5A_CdpgnVfiiMM&amp;r=7XUwxAZbmftOVV1BsRddTg&amp;m=Ckd9MlpOfNxlE31vcr3vjpx6YO91tY34IwGW-Ws2vZqJf6f23C_ZVRY_uaMMbmZV&amp;s=018FKPQ8Hlwjv5Kgas1WxHxeufT_ElQXEoyH6OtuX9A&amp;e=" TargetMode="External"/><Relationship Id="rId8" Type="http://schemas.openxmlformats.org/officeDocument/2006/relationships/hyperlink" Target="https://zoom.us/rec/share/1VLUX10uLOaPO7QZaXgX5_PmtsiOmwHQqHdonfKxPEZrMiS_sKD3sTXD3roxm_ET.FoDP-98-XnTpwi8I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urldefense.proofpoint.com/v2/url?u=https-3A__www.resnet.us_wp-2Dcontent_uploads_IR-2D301-2D2019-2D003-5FTotal-2DDuct-2DLeakage-2DResults.pdf&amp;d=DwMDaQ&amp;c=euGZstcaTDllvimEN8b7jXrwqOf-v5A_CdpgnVfiiMM&amp;r=7XUwxAZbmftOVV1BsRddTg&amp;m=Ckd9MlpOfNxlE31vcr3vjpx6YO91tY34IwGW-Ws2vZqJf6f23C_ZVRY_uaMMbmZV&amp;s=q4b5oExcIPoF0ooPZExO7BQu7--YIbvEyYmSWOMrbVw&amp;e=" TargetMode="External"/><Relationship Id="rId17" Type="http://schemas.openxmlformats.org/officeDocument/2006/relationships/hyperlink" Target="https://urldefense.proofpoint.com/v2/url?u=https-3A__www.resnet.us_wp-2Dcontent_uploads_IR301-2D2019-2D009Dwelling-2DUnitMechVentSysFanWatts-5FSDC-5Fvf.docx&amp;d=DwMDaQ&amp;c=euGZstcaTDllvimEN8b7jXrwqOf-v5A_CdpgnVfiiMM&amp;r=7XUwxAZbmftOVV1BsRddTg&amp;m=Ckd9MlpOfNxlE31vcr3vjpx6YO91tY34IwGW-Ws2vZqJf6f23C_ZVRY_uaMMbmZV&amp;s=x7avh8hqF1aFfjIFj3oPnxiuquKWPdXdRrVfVEcnVzo&amp;e=" TargetMode="External"/><Relationship Id="rId25" Type="http://schemas.openxmlformats.org/officeDocument/2006/relationships/hyperlink" Target="https://urldefense.proofpoint.com/v2/url?u=https-3A__www.resnet.us_wp-2Dcontent_uploads_IR301-2D2019-2D017-5FVntltnSysControls-5Fwebpost.docx&amp;d=DwMDaQ&amp;c=euGZstcaTDllvimEN8b7jXrwqOf-v5A_CdpgnVfiiMM&amp;r=7XUwxAZbmftOVV1BsRddTg&amp;m=Ckd9MlpOfNxlE31vcr3vjpx6YO91tY34IwGW-Ws2vZqJf6f23C_ZVRY_uaMMbmZV&amp;s=oJoAqiJMhZ5ZPxEAwDEty1OtwLMAfmiRS-_YEAsETo4&amp;e=" TargetMode="External"/><Relationship Id="rId33" Type="http://schemas.openxmlformats.org/officeDocument/2006/relationships/hyperlink" Target="https://urldefense.proofpoint.com/v2/url?u=https-3A__www.resnet.us_wp-2Dcontent_uploads_IR301-2D2019-2D025MixMatchACEquipEfficiency-5Fwebpost-2D1.pdf&amp;d=DwMDaQ&amp;c=euGZstcaTDllvimEN8b7jXrwqOf-v5A_CdpgnVfiiMM&amp;r=7XUwxAZbmftOVV1BsRddTg&amp;m=Ckd9MlpOfNxlE31vcr3vjpx6YO91tY34IwGW-Ws2vZqJf6f23C_ZVRY_uaMMbmZV&amp;s=dMgsWlqpCyIe-ix3m3xMtp5A3PDwWgL8abWak1o9ugM&amp;e=" TargetMode="External"/><Relationship Id="rId38" Type="http://schemas.openxmlformats.org/officeDocument/2006/relationships/hyperlink" Target="https://urldefense.proofpoint.com/v2/url?u=https-3A__www.resnet.us_wp-2Dcontent_uploads_IR301-2D2019-2D030-2DHot-2DWater-2DDistribution-2DPiping-2DInsulation-5Ffinal.pdf&amp;d=DwMDaQ&amp;c=euGZstcaTDllvimEN8b7jXrwqOf-v5A_CdpgnVfiiMM&amp;r=7XUwxAZbmftOVV1BsRddTg&amp;m=Ckd9MlpOfNxlE31vcr3vjpx6YO91tY34IwGW-Ws2vZqJf6f23C_ZVRY_uaMMbmZV&amp;s=Uf8TNupcIa3B7lp1MxOQVGR5ffVSVCiRYtQUz9I8sys&amp;e=" TargetMode="External"/><Relationship Id="rId20" Type="http://schemas.openxmlformats.org/officeDocument/2006/relationships/hyperlink" Target="https://urldefense.proofpoint.com/v2/url?u=https-3A__www.resnet.us_wp-2Dcontent_uploads_IR-2D301-2D2019-2D013-5FPurchasedEnergy-5Fwebpost.docx&amp;d=DwMDaQ&amp;c=euGZstcaTDllvimEN8b7jXrwqOf-v5A_CdpgnVfiiMM&amp;r=7XUwxAZbmftOVV1BsRddTg&amp;m=Ckd9MlpOfNxlE31vcr3vjpx6YO91tY34IwGW-Ws2vZqJf6f23C_ZVRY_uaMMbmZV&amp;s=SKhW44eHy60k30vmG8lkjhQOhA2R0GZzI654kl-UfDA&amp;e=" TargetMode="External"/><Relationship Id="rId41" Type="http://schemas.openxmlformats.org/officeDocument/2006/relationships/hyperlink" Target="https://urldefense.proofpoint.com/v2/url?u=https-3A__www.resnet.us_wp-2Dcontent_uploads_IR301-2D2019-2D033FixtureFactorDetermination-5Fwebpost.pdf&amp;d=DwMDaQ&amp;c=euGZstcaTDllvimEN8b7jXrwqOf-v5A_CdpgnVfiiMM&amp;r=7XUwxAZbmftOVV1BsRddTg&amp;m=Ckd9MlpOfNxlE31vcr3vjpx6YO91tY34IwGW-Ws2vZqJf6f23C_ZVRY_uaMMbmZV&amp;s=vU9EPQc3kdgs2QDvfr8WjNdiPJ8O-Ys7x2gcLHDe-80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4729</Words>
  <Characters>26958</Characters>
  <Application>Microsoft Office Word</Application>
  <DocSecurity>0</DocSecurity>
  <Lines>224</Lines>
  <Paragraphs>63</Paragraphs>
  <ScaleCrop>false</ScaleCrop>
  <Company/>
  <LinksUpToDate>false</LinksUpToDate>
  <CharactersWithSpaces>31624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134</cp:revision>
  <dcterms:created xsi:type="dcterms:W3CDTF">2024-08-05T17:27:00Z</dcterms:created>
  <dcterms:modified xsi:type="dcterms:W3CDTF">2025-03-04T22:52:00Z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