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C3DF8D6" w14:textId="77777777" w:rsidR="004C6129" w:rsidRDefault="004C6129">
      <w:pPr>
        <w:pStyle w:val="Heading2"/>
        <w:kinsoku w:val="0"/>
        <w:overflowPunct w:val="0"/>
        <w:spacing w:before="69"/>
        <w:ind w:left="3159"/>
        <w:rPr>
          <w:i/>
          <w:spacing w:val="1"/>
          <w:u w:val="none"/>
        </w:rPr>
      </w:pPr>
    </w:p>
    <w:p w14:paraId="307FFB31" w14:textId="0177C0BE" w:rsidR="00214CEC" w:rsidRDefault="00214CEC">
      <w:pPr>
        <w:pStyle w:val="Heading2"/>
        <w:kinsoku w:val="0"/>
        <w:overflowPunct w:val="0"/>
        <w:spacing w:before="69"/>
        <w:ind w:left="3159"/>
        <w:rPr>
          <w:b w:val="0"/>
          <w:bCs w:val="0"/>
          <w:u w:val="none"/>
        </w:rPr>
      </w:pPr>
      <w:r>
        <w:rPr>
          <w:spacing w:val="-1"/>
          <w:u w:val="none"/>
        </w:rPr>
        <w:t>Standard Revision</w:t>
      </w:r>
    </w:p>
    <w:p w14:paraId="38D44B49" w14:textId="77777777" w:rsidR="00214CEC" w:rsidRDefault="00214CEC">
      <w:pPr>
        <w:pStyle w:val="BodyText"/>
        <w:kinsoku w:val="0"/>
        <w:overflowPunct w:val="0"/>
        <w:spacing w:before="10"/>
        <w:ind w:left="0"/>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BAA2C2"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6C1BD778"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4A21A7">
        <w:rPr>
          <w:spacing w:val="-1"/>
        </w:rPr>
        <w:t>March</w:t>
      </w:r>
      <w:r w:rsidR="00DC65C9">
        <w:rPr>
          <w:spacing w:val="-1"/>
        </w:rPr>
        <w:t xml:space="preserve"> 2</w:t>
      </w:r>
      <w:r w:rsidR="004A21A7">
        <w:rPr>
          <w:spacing w:val="-1"/>
        </w:rPr>
        <w:t>1</w:t>
      </w:r>
      <w:r w:rsidR="00FF0165">
        <w:rPr>
          <w:spacing w:val="-1"/>
        </w:rPr>
        <w:t>, 201</w:t>
      </w:r>
      <w:r w:rsidR="004A21A7">
        <w:rPr>
          <w:spacing w:val="-1"/>
        </w:rPr>
        <w:t>9</w:t>
      </w:r>
      <w:r>
        <w:rPr>
          <w:spacing w:val="-1"/>
        </w:rPr>
        <w:tab/>
      </w:r>
      <w:r w:rsidR="0037249A">
        <w:rPr>
          <w:spacing w:val="-1"/>
        </w:rPr>
        <w:t>MINHERS Addendum 4</w:t>
      </w:r>
      <w:r w:rsidR="004A21A7">
        <w:rPr>
          <w:spacing w:val="-1"/>
        </w:rPr>
        <w:t>1i</w:t>
      </w:r>
    </w:p>
    <w:p w14:paraId="0909F505" w14:textId="16F8C2FB" w:rsidR="002F5EC9" w:rsidRDefault="002F5EC9">
      <w:pPr>
        <w:pStyle w:val="BodyText"/>
        <w:tabs>
          <w:tab w:val="left" w:pos="6600"/>
        </w:tabs>
        <w:kinsoku w:val="0"/>
        <w:overflowPunct w:val="0"/>
        <w:spacing w:line="271" w:lineRule="exact"/>
      </w:pPr>
      <w:r>
        <w:t xml:space="preserve">Date Effective:   </w:t>
      </w:r>
      <w:r w:rsidR="004A21A7">
        <w:t>March</w:t>
      </w:r>
      <w:r w:rsidR="00DC65C9">
        <w:t xml:space="preserve"> 2</w:t>
      </w:r>
      <w:r w:rsidR="004A21A7">
        <w:t>1</w:t>
      </w:r>
      <w:r w:rsidR="00FF0165">
        <w:t>, 201</w:t>
      </w:r>
      <w:r w:rsidR="00DC65C9">
        <w:t>9</w:t>
      </w:r>
    </w:p>
    <w:p w14:paraId="5E096C6C" w14:textId="62BAC85C"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Standard Development Committee </w:t>
      </w:r>
      <w:r w:rsidR="004A21A7">
        <w:rPr>
          <w:spacing w:val="-1"/>
        </w:rPr>
        <w:t>3</w:t>
      </w:r>
      <w:r w:rsidR="00292126">
        <w:rPr>
          <w:spacing w:val="-1"/>
        </w:rPr>
        <w:t>00</w:t>
      </w:r>
    </w:p>
    <w:p w14:paraId="2A916080" w14:textId="77777777" w:rsidR="00214CEC" w:rsidRDefault="00214CEC">
      <w:pPr>
        <w:pStyle w:val="BodyText"/>
        <w:kinsoku w:val="0"/>
        <w:overflowPunct w:val="0"/>
        <w:ind w:right="5332"/>
      </w:pPr>
      <w:r>
        <w:rPr>
          <w:spacing w:val="-1"/>
        </w:rPr>
        <w:t xml:space="preserve">Organization: </w:t>
      </w:r>
      <w:r w:rsidR="002F5EC9">
        <w:rPr>
          <w:spacing w:val="-1"/>
        </w:rPr>
        <w:t xml:space="preserve"> </w:t>
      </w:r>
      <w:r w:rsidR="004C6129">
        <w:rPr>
          <w:spacing w:val="-1"/>
        </w:rPr>
        <w:t xml:space="preserve">   </w:t>
      </w:r>
      <w:r>
        <w:rPr>
          <w:spacing w:val="-1"/>
        </w:rPr>
        <w:t>RESNET</w:t>
      </w:r>
    </w:p>
    <w:p w14:paraId="262FCC3E" w14:textId="77777777" w:rsidR="00214CEC" w:rsidRDefault="00214CEC">
      <w:pPr>
        <w:pStyle w:val="BodyText"/>
        <w:kinsoku w:val="0"/>
        <w:overflowPunct w:val="0"/>
        <w:spacing w:before="11"/>
        <w:ind w:left="0"/>
        <w:rPr>
          <w:sz w:val="21"/>
          <w:szCs w:val="21"/>
        </w:rPr>
      </w:pP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4CCACD"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18C4143" w14:textId="77777777" w:rsidR="00214CEC" w:rsidRDefault="00214CEC" w:rsidP="007A371A">
      <w:pPr>
        <w:pStyle w:val="Heading2"/>
        <w:kinsoku w:val="0"/>
        <w:overflowPunct w:val="0"/>
        <w:spacing w:before="69"/>
        <w:ind w:left="0"/>
        <w:rPr>
          <w:b w:val="0"/>
          <w:bCs w:val="0"/>
          <w:u w:val="none"/>
        </w:rPr>
      </w:pPr>
      <w:r>
        <w:rPr>
          <w:u w:val="none"/>
        </w:rPr>
        <w:t>Justification:</w:t>
      </w:r>
    </w:p>
    <w:p w14:paraId="3CB0835A" w14:textId="2239E32F" w:rsidR="00214CEC" w:rsidRDefault="00214CEC" w:rsidP="00496FDD">
      <w:pPr>
        <w:pStyle w:val="BodyText"/>
        <w:kinsoku w:val="0"/>
        <w:overflowPunct w:val="0"/>
        <w:spacing w:before="10"/>
        <w:ind w:left="90"/>
        <w:rPr>
          <w:b/>
          <w:bCs/>
          <w:sz w:val="23"/>
          <w:szCs w:val="23"/>
        </w:rPr>
      </w:pPr>
    </w:p>
    <w:p w14:paraId="19C6805E" w14:textId="6771171E" w:rsidR="004A21A7" w:rsidRPr="004A21A7" w:rsidRDefault="004A21A7" w:rsidP="004A21A7">
      <w:pPr>
        <w:rPr>
          <w:rFonts w:ascii="Arial" w:hAnsi="Arial" w:cs="Arial"/>
        </w:rPr>
      </w:pPr>
      <w:r w:rsidRPr="004A21A7">
        <w:rPr>
          <w:rFonts w:ascii="Arial" w:hAnsi="Arial" w:cs="Arial"/>
        </w:rPr>
        <w:t xml:space="preserve">The purpose of this </w:t>
      </w:r>
      <w:r w:rsidRPr="004A21A7">
        <w:rPr>
          <w:rFonts w:ascii="Arial" w:hAnsi="Arial" w:cs="Arial"/>
        </w:rPr>
        <w:t>addendum</w:t>
      </w:r>
      <w:r w:rsidRPr="004A21A7">
        <w:rPr>
          <w:rFonts w:ascii="Arial" w:hAnsi="Arial" w:cs="Arial"/>
        </w:rPr>
        <w:t xml:space="preserve"> is to provide a temporary exemption from infiltration testing for homes in Puerto Rico and the US Virgin Islands.</w:t>
      </w:r>
    </w:p>
    <w:p w14:paraId="7890CCAF" w14:textId="77777777" w:rsidR="004A21A7" w:rsidRPr="004A21A7" w:rsidRDefault="004A21A7" w:rsidP="004A21A7">
      <w:pPr>
        <w:rPr>
          <w:rFonts w:ascii="Arial" w:hAnsi="Arial" w:cs="Arial"/>
        </w:rPr>
      </w:pPr>
    </w:p>
    <w:p w14:paraId="6F37584F" w14:textId="77777777" w:rsidR="004A21A7" w:rsidRPr="004A21A7" w:rsidRDefault="004A21A7" w:rsidP="004A21A7">
      <w:pPr>
        <w:rPr>
          <w:rFonts w:ascii="Arial" w:hAnsi="Arial" w:cs="Arial"/>
        </w:rPr>
      </w:pPr>
      <w:r w:rsidRPr="004A21A7">
        <w:rPr>
          <w:rFonts w:ascii="Arial" w:hAnsi="Arial" w:cs="Arial"/>
        </w:rPr>
        <w:t xml:space="preserve">HUD is tying recovery funds on these islands to efficiency programs, which creates an opportunity for RESNET to increase HERS ratings on these islands. However, because the rating infrastructure on the islands is in its infancy, blower doors are an expensive investment. </w:t>
      </w:r>
    </w:p>
    <w:p w14:paraId="3943B773" w14:textId="0AC78A94" w:rsidR="004A21A7" w:rsidRDefault="004A21A7" w:rsidP="004A21A7">
      <w:pPr>
        <w:rPr>
          <w:rFonts w:ascii="Arial" w:hAnsi="Arial" w:cs="Arial"/>
        </w:rPr>
      </w:pPr>
      <w:r w:rsidRPr="004A21A7">
        <w:rPr>
          <w:rFonts w:ascii="Arial" w:hAnsi="Arial" w:cs="Arial"/>
        </w:rPr>
        <w:t>Furthermore, the cost of testing each home outweighs its value in many cases. Due to the extremely temperate weather in these locations, the infiltration rate has a negligible impact on the HERS rating. For example, in one home in Puerto Rico, the HERS impact of increasing infiltration from 3 to 10 ACH50 was 1 HERS point. To overcome this obstacle, we propose adding an exception to the M</w:t>
      </w:r>
      <w:r w:rsidR="00453553">
        <w:rPr>
          <w:rFonts w:ascii="Arial" w:hAnsi="Arial" w:cs="Arial"/>
        </w:rPr>
        <w:t>IN</w:t>
      </w:r>
      <w:r w:rsidRPr="004A21A7">
        <w:rPr>
          <w:rFonts w:ascii="Arial" w:hAnsi="Arial" w:cs="Arial"/>
        </w:rPr>
        <w:t xml:space="preserve">HERS standard allowing Raters doing HERS ratings in Puerto Rico and the US Virgin Islands to use a very high default infiltration rate of 10 ACH50 in lieu of testing for a limited </w:t>
      </w:r>
      <w:proofErr w:type="gramStart"/>
      <w:r w:rsidRPr="004A21A7">
        <w:rPr>
          <w:rFonts w:ascii="Arial" w:hAnsi="Arial" w:cs="Arial"/>
        </w:rPr>
        <w:t>period of time</w:t>
      </w:r>
      <w:proofErr w:type="gramEnd"/>
      <w:r w:rsidRPr="004A21A7">
        <w:rPr>
          <w:rFonts w:ascii="Arial" w:hAnsi="Arial" w:cs="Arial"/>
        </w:rPr>
        <w:t>.</w:t>
      </w:r>
    </w:p>
    <w:p w14:paraId="241C1753" w14:textId="64B79089" w:rsidR="00453553" w:rsidRDefault="00453553" w:rsidP="004A21A7">
      <w:pPr>
        <w:rPr>
          <w:rFonts w:ascii="Arial" w:hAnsi="Arial" w:cs="Arial"/>
        </w:rPr>
      </w:pPr>
    </w:p>
    <w:p w14:paraId="7130B940" w14:textId="753FB226" w:rsidR="00453553" w:rsidRDefault="00453553" w:rsidP="004A21A7">
      <w:pPr>
        <w:rPr>
          <w:rFonts w:ascii="Arial" w:hAnsi="Arial" w:cs="Arial"/>
        </w:rPr>
      </w:pPr>
    </w:p>
    <w:p w14:paraId="27A25D35" w14:textId="542BE9E5" w:rsidR="00453553" w:rsidRPr="00453553" w:rsidRDefault="00453553" w:rsidP="004A21A7">
      <w:pPr>
        <w:rPr>
          <w:rFonts w:ascii="Arial" w:hAnsi="Arial" w:cs="Arial"/>
          <w:b/>
        </w:rPr>
      </w:pPr>
      <w:r w:rsidRPr="00453553">
        <w:rPr>
          <w:rFonts w:ascii="Arial" w:hAnsi="Arial" w:cs="Arial"/>
          <w:b/>
        </w:rPr>
        <w:t>Note:</w:t>
      </w:r>
    </w:p>
    <w:p w14:paraId="33B8C65E" w14:textId="529EC543" w:rsidR="00453553" w:rsidRDefault="00453553" w:rsidP="004A21A7">
      <w:pPr>
        <w:rPr>
          <w:rFonts w:ascii="Arial" w:hAnsi="Arial" w:cs="Arial"/>
        </w:rPr>
      </w:pPr>
    </w:p>
    <w:p w14:paraId="30026F43" w14:textId="7B32EACA" w:rsidR="00453553" w:rsidRPr="004A21A7" w:rsidRDefault="00453553" w:rsidP="004A21A7">
      <w:pPr>
        <w:rPr>
          <w:rFonts w:ascii="Arial" w:hAnsi="Arial" w:cs="Arial"/>
        </w:rPr>
      </w:pPr>
      <w:r>
        <w:rPr>
          <w:rFonts w:ascii="Arial" w:hAnsi="Arial" w:cs="Arial"/>
        </w:rPr>
        <w:t xml:space="preserve">This Addendum is written to conform to the language of Addendum 42 that updates the section 303.1 reference to the 2019 edition of Standard ANSI/RESNET/ICC 301. Addendum 42 was recently </w:t>
      </w:r>
      <w:proofErr w:type="gramStart"/>
      <w:r>
        <w:rPr>
          <w:rFonts w:ascii="Arial" w:hAnsi="Arial" w:cs="Arial"/>
        </w:rPr>
        <w:t>approved</w:t>
      </w:r>
      <w:proofErr w:type="gramEnd"/>
      <w:r>
        <w:rPr>
          <w:rFonts w:ascii="Arial" w:hAnsi="Arial" w:cs="Arial"/>
        </w:rPr>
        <w:t xml:space="preserve"> and its effective date is July 1, 2019. Between the March 21, 2019 approval date of this “interim” Addendum 41i and July 1, 2019 the exception it adds will be designated “Exception 4” to section 303.1 and section 303.1 refers to the 2014 edition of Standard ANSI/RESNET/ICC 301.</w:t>
      </w:r>
    </w:p>
    <w:p w14:paraId="445DA78F" w14:textId="78D83718" w:rsidR="00DC65C9" w:rsidRPr="004A21A7" w:rsidRDefault="00DC65C9" w:rsidP="003172E2">
      <w:pPr>
        <w:pStyle w:val="BodyText"/>
        <w:kinsoku w:val="0"/>
        <w:overflowPunct w:val="0"/>
        <w:spacing w:before="2"/>
      </w:pPr>
    </w:p>
    <w:p w14:paraId="42116ED2" w14:textId="20D7F356" w:rsidR="003172E2" w:rsidRDefault="00647097" w:rsidP="00145118">
      <w:pPr>
        <w:pStyle w:val="BodyText"/>
        <w:kinsoku w:val="0"/>
        <w:overflowPunct w:val="0"/>
        <w:spacing w:before="2"/>
        <w:ind w:left="0"/>
      </w:pPr>
      <w:r>
        <w:br w:type="column"/>
      </w:r>
    </w:p>
    <w:p w14:paraId="179EE058" w14:textId="451148FD" w:rsidR="00D469B5" w:rsidRDefault="00D469B5" w:rsidP="00145118">
      <w:pPr>
        <w:pStyle w:val="BodyText"/>
        <w:kinsoku w:val="0"/>
        <w:overflowPunct w:val="0"/>
        <w:spacing w:before="2"/>
        <w:ind w:left="0"/>
      </w:pPr>
    </w:p>
    <w:p w14:paraId="4329F484" w14:textId="3B96474B" w:rsidR="00D469B5" w:rsidRDefault="00D469B5" w:rsidP="00145118">
      <w:pPr>
        <w:pStyle w:val="BodyText"/>
        <w:kinsoku w:val="0"/>
        <w:overflowPunct w:val="0"/>
        <w:spacing w:before="2"/>
        <w:ind w:left="0"/>
      </w:pPr>
    </w:p>
    <w:p w14:paraId="0F39CBD6" w14:textId="374D7E13" w:rsidR="00D469B5" w:rsidRDefault="00D469B5" w:rsidP="00145118">
      <w:pPr>
        <w:pStyle w:val="BodyText"/>
        <w:kinsoku w:val="0"/>
        <w:overflowPunct w:val="0"/>
        <w:spacing w:before="2"/>
        <w:ind w:left="0"/>
      </w:pPr>
    </w:p>
    <w:p w14:paraId="32EA749F" w14:textId="77777777" w:rsidR="00D469B5" w:rsidRDefault="00D469B5" w:rsidP="00145118">
      <w:pPr>
        <w:pStyle w:val="BodyText"/>
        <w:kinsoku w:val="0"/>
        <w:overflowPunct w:val="0"/>
        <w:spacing w:before="2"/>
        <w:ind w:left="0"/>
      </w:pPr>
    </w:p>
    <w:p w14:paraId="31D54462" w14:textId="77777777" w:rsidR="004C6129" w:rsidRDefault="004C6129" w:rsidP="004C6129">
      <w:r>
        <w:rPr>
          <w:b/>
          <w:i/>
        </w:rPr>
        <w:t>Modifications to the chapter are given below in underline/strikeout format</w:t>
      </w:r>
    </w:p>
    <w:p w14:paraId="5DAD3220" w14:textId="6788C9CE" w:rsidR="00145118" w:rsidRDefault="00145118">
      <w:pPr>
        <w:pStyle w:val="BodyText"/>
        <w:kinsoku w:val="0"/>
        <w:overflowPunct w:val="0"/>
        <w:spacing w:before="2"/>
        <w:ind w:left="0"/>
      </w:pPr>
    </w:p>
    <w:p w14:paraId="05B2E012" w14:textId="3A4ACC29" w:rsidR="00D469B5" w:rsidRDefault="00D469B5">
      <w:pPr>
        <w:pStyle w:val="BodyText"/>
        <w:kinsoku w:val="0"/>
        <w:overflowPunct w:val="0"/>
        <w:spacing w:before="2"/>
        <w:ind w:left="0"/>
      </w:pPr>
    </w:p>
    <w:p w14:paraId="62870E85" w14:textId="77777777" w:rsidR="00D469B5" w:rsidRDefault="00D469B5">
      <w:pPr>
        <w:pStyle w:val="BodyText"/>
        <w:kinsoku w:val="0"/>
        <w:overflowPunct w:val="0"/>
        <w:spacing w:before="2"/>
        <w:ind w:left="0"/>
      </w:pPr>
      <w:bookmarkStart w:id="0" w:name="_GoBack"/>
      <w:bookmarkEnd w:id="0"/>
    </w:p>
    <w:p w14:paraId="5868DD40" w14:textId="7087A1CE" w:rsidR="00214CEC" w:rsidRDefault="00214CEC">
      <w:pPr>
        <w:pStyle w:val="Heading1"/>
        <w:kinsoku w:val="0"/>
        <w:overflowPunct w:val="0"/>
        <w:spacing w:before="0"/>
        <w:ind w:left="3508" w:right="3506" w:hanging="1"/>
        <w:jc w:val="center"/>
        <w:rPr>
          <w:b w:val="0"/>
          <w:bCs w:val="0"/>
        </w:rPr>
      </w:pPr>
      <w:r>
        <w:t>Chapter</w:t>
      </w:r>
      <w:r>
        <w:rPr>
          <w:spacing w:val="-17"/>
        </w:rPr>
        <w:t xml:space="preserve"> </w:t>
      </w:r>
      <w:r w:rsidR="004A21A7">
        <w:rPr>
          <w:spacing w:val="-17"/>
        </w:rPr>
        <w:t>Three</w:t>
      </w:r>
      <w:r>
        <w:rPr>
          <w:w w:val="99"/>
        </w:rPr>
        <w:t xml:space="preserve"> </w:t>
      </w:r>
      <w:r>
        <w:t>RESNET</w:t>
      </w:r>
      <w:r>
        <w:rPr>
          <w:spacing w:val="-25"/>
        </w:rPr>
        <w:t xml:space="preserve"> </w:t>
      </w:r>
      <w:r w:rsidR="009E2F18">
        <w:rPr>
          <w:spacing w:val="-25"/>
        </w:rPr>
        <w:t>S</w:t>
      </w:r>
      <w:r>
        <w:rPr>
          <w:spacing w:val="-1"/>
        </w:rPr>
        <w:t>tandards</w:t>
      </w:r>
    </w:p>
    <w:p w14:paraId="49FCC21B" w14:textId="5FB60FDB" w:rsidR="00214CEC" w:rsidRDefault="00214CEC">
      <w:pPr>
        <w:pStyle w:val="BodyText"/>
        <w:kinsoku w:val="0"/>
        <w:overflowPunct w:val="0"/>
        <w:spacing w:before="10"/>
        <w:ind w:left="0"/>
        <w:rPr>
          <w:b/>
          <w:bCs/>
          <w:sz w:val="23"/>
          <w:szCs w:val="23"/>
        </w:rPr>
      </w:pPr>
    </w:p>
    <w:p w14:paraId="55FB1517" w14:textId="77777777" w:rsidR="004A21A7" w:rsidRDefault="004A21A7" w:rsidP="004A21A7">
      <w:proofErr w:type="gramStart"/>
      <w:r>
        <w:t>303  Technical</w:t>
      </w:r>
      <w:proofErr w:type="gramEnd"/>
      <w:r>
        <w:t xml:space="preserve"> Requirements</w:t>
      </w:r>
    </w:p>
    <w:p w14:paraId="64734B81" w14:textId="77777777" w:rsidR="004A21A7" w:rsidRDefault="004A21A7" w:rsidP="004A21A7"/>
    <w:p w14:paraId="1C6508FF" w14:textId="1B2B3A96" w:rsidR="004A21A7" w:rsidRDefault="004A21A7" w:rsidP="004A21A7">
      <w:proofErr w:type="gramStart"/>
      <w:r>
        <w:t>303.1  Applicable</w:t>
      </w:r>
      <w:proofErr w:type="gramEnd"/>
      <w:r>
        <w:t xml:space="preserve"> Standards</w:t>
      </w:r>
    </w:p>
    <w:p w14:paraId="6B16D8DB" w14:textId="77777777" w:rsidR="004A21A7" w:rsidRDefault="004A21A7" w:rsidP="004A21A7">
      <w:r>
        <w:t>All RESNET Home Energy Ratings conducted in accordance with this Standard shall comply with the provisions of ANSI/RESNET/ICC 301, “Standard for the Calculation and Labeling of the Energy Performance of Dwelling and Sleeping Units using an Energy Rating Index.”</w:t>
      </w:r>
    </w:p>
    <w:p w14:paraId="32EF91C1" w14:textId="77777777" w:rsidR="004A21A7" w:rsidRDefault="004A21A7" w:rsidP="004A21A7">
      <w:pPr>
        <w:rPr>
          <w:u w:val="single"/>
        </w:rPr>
      </w:pPr>
    </w:p>
    <w:p w14:paraId="668A2891" w14:textId="36248ADA" w:rsidR="004A21A7" w:rsidRDefault="004A21A7" w:rsidP="004A21A7">
      <w:pPr>
        <w:rPr>
          <w:u w:val="single"/>
        </w:rPr>
      </w:pPr>
      <w:r w:rsidRPr="0051069B">
        <w:rPr>
          <w:u w:val="single"/>
        </w:rPr>
        <w:t xml:space="preserve">Exception </w:t>
      </w:r>
      <w:r>
        <w:rPr>
          <w:u w:val="single"/>
        </w:rPr>
        <w:t>1</w:t>
      </w:r>
      <w:r w:rsidRPr="0051069B">
        <w:rPr>
          <w:u w:val="single"/>
        </w:rPr>
        <w:t xml:space="preserve">: RESNET Home Energy Ratings conducted in Puerto Rico </w:t>
      </w:r>
      <w:r>
        <w:rPr>
          <w:u w:val="single"/>
        </w:rPr>
        <w:t xml:space="preserve">and the US Virgin Islands </w:t>
      </w:r>
      <w:r w:rsidRPr="0051069B">
        <w:rPr>
          <w:u w:val="single"/>
        </w:rPr>
        <w:t>shall comply with the provisions of ANSI/RESNET/ICC 301, except that Ratings of homes with a permit date prior to January 1, 2022 are permitted to use a default infiltration rate of 10 ACH50 in lieu of conducting an airtightness test in accordance with Standard ANSI/RESNET/ICC 380.</w:t>
      </w:r>
    </w:p>
    <w:p w14:paraId="668B38B2" w14:textId="77777777" w:rsidR="00E23FC8" w:rsidRDefault="00E23FC8" w:rsidP="009360CC">
      <w:pPr>
        <w:pStyle w:val="fmh1aheading1"/>
        <w:rPr>
          <w:b/>
          <w:bCs/>
          <w:sz w:val="23"/>
          <w:szCs w:val="23"/>
        </w:rPr>
      </w:pPr>
    </w:p>
    <w:sectPr w:rsidR="00E23FC8">
      <w:headerReference w:type="default" r:id="rId9"/>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0CEF" w14:textId="77777777" w:rsidR="009D75D2" w:rsidRDefault="009D75D2" w:rsidP="00DE621B">
      <w:r>
        <w:separator/>
      </w:r>
    </w:p>
  </w:endnote>
  <w:endnote w:type="continuationSeparator" w:id="0">
    <w:p w14:paraId="3606B696" w14:textId="77777777" w:rsidR="009D75D2" w:rsidRDefault="009D75D2"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3CCF" w14:textId="77777777" w:rsidR="009D75D2" w:rsidRDefault="009D75D2" w:rsidP="00DE621B">
      <w:r>
        <w:separator/>
      </w:r>
    </w:p>
  </w:footnote>
  <w:footnote w:type="continuationSeparator" w:id="0">
    <w:p w14:paraId="3D2A29D7" w14:textId="77777777" w:rsidR="009D75D2" w:rsidRDefault="009D75D2"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B829" w14:textId="150F418E" w:rsidR="00DE621B" w:rsidRPr="00DE621B" w:rsidRDefault="00DE621B">
    <w:pPr>
      <w:pStyle w:val="Header"/>
      <w:rPr>
        <w:rFonts w:ascii="Arial" w:hAnsi="Arial" w:cs="Arial"/>
      </w:rPr>
    </w:pPr>
    <w:proofErr w:type="spellStart"/>
    <w:r>
      <w:rPr>
        <w:rFonts w:ascii="Arial" w:hAnsi="Arial" w:cs="Arial"/>
      </w:rPr>
      <w:t>MINHERS</w:t>
    </w:r>
    <w:r w:rsidR="004A21A7">
      <w:rPr>
        <w:rFonts w:ascii="Arial" w:hAnsi="Arial" w:cs="Arial"/>
      </w:rPr>
      <w:t>_</w:t>
    </w:r>
    <w:r>
      <w:rPr>
        <w:rFonts w:ascii="Arial" w:hAnsi="Arial" w:cs="Arial"/>
      </w:rPr>
      <w:t>Addendum</w:t>
    </w:r>
    <w:proofErr w:type="spellEnd"/>
    <w:r>
      <w:rPr>
        <w:rFonts w:ascii="Arial" w:hAnsi="Arial" w:cs="Arial"/>
      </w:rPr>
      <w:t xml:space="preserve"> </w:t>
    </w:r>
    <w:r w:rsidR="0022383D">
      <w:rPr>
        <w:rFonts w:ascii="Arial" w:hAnsi="Arial" w:cs="Arial"/>
      </w:rPr>
      <w:t>4</w:t>
    </w:r>
    <w:r w:rsidR="004A21A7">
      <w:rPr>
        <w:rFonts w:ascii="Arial" w:hAnsi="Arial" w:cs="Arial"/>
      </w:rPr>
      <w:t>1i</w:t>
    </w:r>
    <w:r w:rsidR="0022383D">
      <w:rPr>
        <w:rFonts w:ascii="Arial" w:hAnsi="Arial" w:cs="Arial"/>
      </w:rPr>
      <w:t>.docx</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C5A"/>
    <w:rsid w:val="00017FCD"/>
    <w:rsid w:val="00072771"/>
    <w:rsid w:val="000D2754"/>
    <w:rsid w:val="000E06AA"/>
    <w:rsid w:val="000E56ED"/>
    <w:rsid w:val="00145118"/>
    <w:rsid w:val="00172253"/>
    <w:rsid w:val="001C65DA"/>
    <w:rsid w:val="001F3581"/>
    <w:rsid w:val="00214CEC"/>
    <w:rsid w:val="0022383D"/>
    <w:rsid w:val="00225798"/>
    <w:rsid w:val="00262321"/>
    <w:rsid w:val="0027597E"/>
    <w:rsid w:val="00292126"/>
    <w:rsid w:val="002A6951"/>
    <w:rsid w:val="002B5C9C"/>
    <w:rsid w:val="002C351B"/>
    <w:rsid w:val="002D097B"/>
    <w:rsid w:val="002F5EC9"/>
    <w:rsid w:val="0030286C"/>
    <w:rsid w:val="0031280D"/>
    <w:rsid w:val="003172E2"/>
    <w:rsid w:val="00331877"/>
    <w:rsid w:val="00337C71"/>
    <w:rsid w:val="0037249A"/>
    <w:rsid w:val="003775E5"/>
    <w:rsid w:val="003948AA"/>
    <w:rsid w:val="00416B51"/>
    <w:rsid w:val="00453553"/>
    <w:rsid w:val="00490620"/>
    <w:rsid w:val="00496FDD"/>
    <w:rsid w:val="004A21A7"/>
    <w:rsid w:val="004C6129"/>
    <w:rsid w:val="004D7755"/>
    <w:rsid w:val="005719B6"/>
    <w:rsid w:val="00583AD4"/>
    <w:rsid w:val="005B782F"/>
    <w:rsid w:val="005D6FF5"/>
    <w:rsid w:val="00647097"/>
    <w:rsid w:val="00650363"/>
    <w:rsid w:val="006C5EDF"/>
    <w:rsid w:val="006D17E2"/>
    <w:rsid w:val="00721DB0"/>
    <w:rsid w:val="00752514"/>
    <w:rsid w:val="00795156"/>
    <w:rsid w:val="007955DC"/>
    <w:rsid w:val="007A371A"/>
    <w:rsid w:val="007C6848"/>
    <w:rsid w:val="007D7330"/>
    <w:rsid w:val="007E239A"/>
    <w:rsid w:val="008115CD"/>
    <w:rsid w:val="00890AA9"/>
    <w:rsid w:val="00892461"/>
    <w:rsid w:val="008926D6"/>
    <w:rsid w:val="008B5DF4"/>
    <w:rsid w:val="008C0F8C"/>
    <w:rsid w:val="008D4676"/>
    <w:rsid w:val="009360CC"/>
    <w:rsid w:val="009752F7"/>
    <w:rsid w:val="009A790B"/>
    <w:rsid w:val="009B26A0"/>
    <w:rsid w:val="009B740B"/>
    <w:rsid w:val="009D4029"/>
    <w:rsid w:val="009D75D2"/>
    <w:rsid w:val="009E2F18"/>
    <w:rsid w:val="009E7713"/>
    <w:rsid w:val="009F4B19"/>
    <w:rsid w:val="00A9597A"/>
    <w:rsid w:val="00B73F53"/>
    <w:rsid w:val="00B95835"/>
    <w:rsid w:val="00BC1E92"/>
    <w:rsid w:val="00BC4E8A"/>
    <w:rsid w:val="00CA2405"/>
    <w:rsid w:val="00CC75DF"/>
    <w:rsid w:val="00D027B5"/>
    <w:rsid w:val="00D11444"/>
    <w:rsid w:val="00D13BD2"/>
    <w:rsid w:val="00D2254A"/>
    <w:rsid w:val="00D469B5"/>
    <w:rsid w:val="00DC4F61"/>
    <w:rsid w:val="00DC65C9"/>
    <w:rsid w:val="00DD2A49"/>
    <w:rsid w:val="00DE621B"/>
    <w:rsid w:val="00E23FC8"/>
    <w:rsid w:val="00EA7A5C"/>
    <w:rsid w:val="00F007F4"/>
    <w:rsid w:val="00F618B8"/>
    <w:rsid w:val="00F91C66"/>
    <w:rsid w:val="00FD51DF"/>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2FD0-66C0-4A57-BFA4-BCD46CDB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392</Words>
  <Characters>2117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6</cp:revision>
  <cp:lastPrinted>2017-05-01T12:40:00Z</cp:lastPrinted>
  <dcterms:created xsi:type="dcterms:W3CDTF">2019-03-23T15:41:00Z</dcterms:created>
  <dcterms:modified xsi:type="dcterms:W3CDTF">2019-03-23T16:04:00Z</dcterms:modified>
</cp:coreProperties>
</file>